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="1" w:tblpY="634"/>
        <w:tblW w:w="87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2"/>
        <w:gridCol w:w="62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z w:val="36"/>
                <w:szCs w:val="36"/>
              </w:rPr>
              <w:t>债权申报人</w:t>
            </w:r>
            <w:r>
              <w:rPr>
                <w:rFonts w:hint="eastAsia" w:ascii="宋体" w:hAnsi="宋体"/>
                <w:sz w:val="36"/>
                <w:szCs w:val="36"/>
                <w:lang w:val="en-US" w:eastAsia="zh-CN"/>
              </w:rPr>
              <w:t>银行账号及</w:t>
            </w:r>
            <w:r>
              <w:rPr>
                <w:rFonts w:hint="eastAsia" w:ascii="宋体" w:hAnsi="宋体"/>
                <w:sz w:val="36"/>
                <w:szCs w:val="36"/>
              </w:rPr>
              <w:t>联系信息确认书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</w:t>
            </w: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账号：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债权人提供的地址及联系方式</w:t>
            </w: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 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邮编：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电话（移动电话）：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其他联系方式：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债权人对地址及联系方式的确认</w:t>
            </w:r>
          </w:p>
        </w:tc>
        <w:tc>
          <w:tcPr>
            <w:tcW w:w="6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ind w:firstLine="482" w:firstLineChars="200"/>
              <w:jc w:val="left"/>
              <w:textAlignment w:val="auto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本人/本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保证以上填写信息准确、有效，并同意管理人通过管理人官方网站（h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ttp://www.sdzhongdinglaw.com）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、电话、短信、邮件等任意方式之一发布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与破产清算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关的全部法律文书以及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通知，若通讯地址、联系方式、收款银行信息发生变更，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本人/本单位承诺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于变更当日以书面形式及时通知管理人。否则，同意管理人仍按原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收款银行信息、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方式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发送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法律文书及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通知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支付相关债权分配款项，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由此产生的一切不利法律后果由本人/本公司自行承担。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left="3600" w:hanging="3600" w:hangingChars="15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债权人签名捺手印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自然人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或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加盖公章（法人单位）：</w:t>
            </w:r>
          </w:p>
          <w:p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Calibri"/>
                <w:color w:val="000000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  </w:t>
            </w:r>
          </w:p>
          <w:p>
            <w:pPr>
              <w:widowControl/>
              <w:ind w:firstLine="1680" w:firstLineChars="70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1680" w:firstLineChars="70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 xml:space="preserve">  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Calibri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24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62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附件四：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/>
      <w:jc w:val="right"/>
      <w:rPr>
        <w:rFonts w:eastAsia="仿宋_GB2312"/>
        <w:sz w:val="21"/>
        <w:szCs w:val="21"/>
      </w:rPr>
    </w:pPr>
    <w:r>
      <w:rPr>
        <w:rFonts w:eastAsia="仿宋_GB2312"/>
        <w:sz w:val="21"/>
        <w:szCs w:val="21"/>
      </w:rPr>
      <w:t xml:space="preserve">                               </w:t>
    </w:r>
  </w:p>
  <w:p>
    <w:pPr>
      <w:pStyle w:val="3"/>
    </w:pPr>
    <w:r>
      <w:rPr>
        <w:rFonts w:hint="eastAsia" w:ascii="隶书" w:hAnsi="隶书" w:eastAsia="隶书" w:cs="隶书"/>
        <w:sz w:val="18"/>
        <w:szCs w:val="18"/>
        <w:lang w:val="en-US" w:eastAsia="zh-CN"/>
      </w:rPr>
      <w:t>通讯地址：山东省</w:t>
    </w:r>
    <w:r>
      <w:rPr>
        <w:rFonts w:hint="eastAsia" w:ascii="隶书" w:hAnsi="隶书" w:eastAsia="隶书" w:cs="隶书"/>
        <w:sz w:val="18"/>
        <w:szCs w:val="18"/>
      </w:rPr>
      <w:t>威海市环翠区青岛北路24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-1号</w:t>
    </w:r>
    <w:r>
      <w:rPr>
        <w:rFonts w:hint="eastAsia" w:ascii="隶书" w:hAnsi="隶书" w:eastAsia="隶书" w:cs="隶书"/>
        <w:sz w:val="18"/>
        <w:szCs w:val="18"/>
      </w:rPr>
      <w:t>民航大厦</w:t>
    </w:r>
    <w:r>
      <w:rPr>
        <w:rFonts w:hint="eastAsia" w:ascii="隶书" w:hAnsi="隶书" w:eastAsia="隶书" w:cs="隶书"/>
        <w:sz w:val="18"/>
        <w:szCs w:val="18"/>
        <w:lang w:val="en-US" w:eastAsia="zh-CN"/>
      </w:rPr>
      <w:t>四</w:t>
    </w:r>
    <w:r>
      <w:rPr>
        <w:rFonts w:hint="eastAsia" w:ascii="隶书" w:hAnsi="隶书" w:eastAsia="隶书" w:cs="隶书"/>
        <w:sz w:val="18"/>
        <w:szCs w:val="18"/>
      </w:rPr>
      <w:t xml:space="preserve">层 </w:t>
    </w:r>
    <w:bookmarkStart w:id="0" w:name="_GoBack"/>
    <w:bookmarkEnd w:id="0"/>
    <w:r>
      <w:rPr>
        <w:rFonts w:eastAsia="仿宋_GB2312"/>
        <w:sz w:val="21"/>
        <w:szCs w:val="21"/>
      </w:rPr>
      <w:t xml:space="preserve">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  <w:rPr>
        <w:sz w:val="18"/>
        <w:szCs w:val="18"/>
      </w:rPr>
    </w:pPr>
    <w:r>
      <w:rPr>
        <w:rFonts w:ascii="仿宋_GB2312" w:hAnsi="华文楷体" w:eastAsia="仿宋_GB2312"/>
        <w:sz w:val="21"/>
        <w:szCs w:val="21"/>
      </w:rPr>
      <w:drawing>
        <wp:inline distT="0" distB="0" distL="0" distR="0">
          <wp:extent cx="231775" cy="2317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7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仿宋_GB2312" w:hAnsi="华文楷体" w:eastAsia="仿宋_GB2312"/>
        <w:sz w:val="21"/>
        <w:szCs w:val="21"/>
      </w:rPr>
      <w:t xml:space="preserve">          </w:t>
    </w:r>
    <w:r>
      <w:rPr>
        <w:rFonts w:hint="eastAsia" w:ascii="仿宋_GB2312" w:hAnsi="华文楷体" w:eastAsia="仿宋_GB2312"/>
        <w:sz w:val="21"/>
        <w:szCs w:val="21"/>
        <w:lang w:val="en-US" w:eastAsia="zh-CN"/>
      </w:rPr>
      <w:t xml:space="preserve">  </w:t>
    </w:r>
    <w:r>
      <w:rPr>
        <w:rFonts w:hint="eastAsia" w:ascii="隶书" w:hAnsi="华文楷体" w:eastAsia="隶书"/>
        <w:sz w:val="18"/>
        <w:szCs w:val="18"/>
      </w:rPr>
      <w:t>威海天一和海洋生物科技股份有限公司管理人债权申报人</w:t>
    </w:r>
    <w:r>
      <w:rPr>
        <w:rFonts w:hint="eastAsia" w:ascii="隶书" w:hAnsi="华文楷体" w:eastAsia="隶书"/>
        <w:sz w:val="18"/>
        <w:szCs w:val="18"/>
        <w:lang w:val="en-US" w:eastAsia="zh-CN"/>
      </w:rPr>
      <w:t>银行账号及</w:t>
    </w:r>
    <w:r>
      <w:rPr>
        <w:rFonts w:hint="eastAsia" w:ascii="隶书" w:hAnsi="华文楷体" w:eastAsia="隶书"/>
        <w:sz w:val="18"/>
        <w:szCs w:val="18"/>
      </w:rPr>
      <w:t>联系信息确认书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MjFiYmU3Yzk0NmFlMThhN2Q4ZjU1NmQxOTg3NzMifQ=="/>
  </w:docVars>
  <w:rsids>
    <w:rsidRoot w:val="0012320A"/>
    <w:rsid w:val="0012320A"/>
    <w:rsid w:val="001B6329"/>
    <w:rsid w:val="00287DC5"/>
    <w:rsid w:val="002B3E04"/>
    <w:rsid w:val="002C0461"/>
    <w:rsid w:val="003E7C08"/>
    <w:rsid w:val="0040638F"/>
    <w:rsid w:val="004845A2"/>
    <w:rsid w:val="00564EC7"/>
    <w:rsid w:val="00571883"/>
    <w:rsid w:val="006225D2"/>
    <w:rsid w:val="00654C7F"/>
    <w:rsid w:val="00772E62"/>
    <w:rsid w:val="008066EB"/>
    <w:rsid w:val="008722E6"/>
    <w:rsid w:val="008B15C8"/>
    <w:rsid w:val="00985D03"/>
    <w:rsid w:val="00B418D6"/>
    <w:rsid w:val="00B5511A"/>
    <w:rsid w:val="00DD1207"/>
    <w:rsid w:val="00DE01B4"/>
    <w:rsid w:val="00E108FD"/>
    <w:rsid w:val="00E2353A"/>
    <w:rsid w:val="00E807D7"/>
    <w:rsid w:val="00E97B0A"/>
    <w:rsid w:val="00EC2070"/>
    <w:rsid w:val="00ED55DA"/>
    <w:rsid w:val="00F350B9"/>
    <w:rsid w:val="13FB68DD"/>
    <w:rsid w:val="14ED2C64"/>
    <w:rsid w:val="19DD2A7D"/>
    <w:rsid w:val="1C1A25A1"/>
    <w:rsid w:val="276460F3"/>
    <w:rsid w:val="71671C99"/>
    <w:rsid w:val="7828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0</TotalTime>
  <ScaleCrop>false</ScaleCrop>
  <LinksUpToDate>false</LinksUpToDate>
  <CharactersWithSpaces>358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2022-01-07T06:54:00Z</dcterms:created>
  <dc:creator>DELL</dc:creator>
  <cp:lastModifiedBy>山东钟鼎律师事务所</cp:lastModifiedBy>
  <dcterms:modified xsi:type="dcterms:W3CDTF">2023-09-02T02:19:48Z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C0ED8FE3B46147898027A5682EADA387_13</vt:lpwstr>
  </property>
</Properties>
</file>