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032DB">
      <w:pPr>
        <w:jc w:val="center"/>
        <w:rPr>
          <w:rFonts w:hint="eastAsia"/>
          <w:b/>
          <w:bCs/>
          <w:sz w:val="36"/>
          <w:szCs w:val="36"/>
          <w:lang w:val="en-US" w:eastAsia="zh-CN"/>
        </w:rPr>
      </w:pPr>
      <w:r>
        <w:rPr>
          <w:rFonts w:hint="eastAsia"/>
          <w:b/>
          <w:bCs/>
          <w:sz w:val="36"/>
          <w:szCs w:val="36"/>
          <w:lang w:val="en-US" w:eastAsia="zh-CN"/>
        </w:rPr>
        <w:t>威海金通灯具</w:t>
      </w:r>
      <w:r>
        <w:rPr>
          <w:rFonts w:hint="eastAsia"/>
          <w:b/>
          <w:bCs/>
          <w:sz w:val="36"/>
          <w:szCs w:val="36"/>
        </w:rPr>
        <w:t>有限公司债权核查表</w:t>
      </w:r>
      <w:r>
        <w:rPr>
          <w:rFonts w:hint="eastAsia"/>
          <w:b/>
          <w:bCs/>
          <w:sz w:val="36"/>
          <w:szCs w:val="36"/>
          <w:lang w:val="en-US" w:eastAsia="zh-CN"/>
        </w:rPr>
        <w:t>公示</w:t>
      </w:r>
    </w:p>
    <w:p w14:paraId="4785951D">
      <w:pPr>
        <w:jc w:val="center"/>
        <w:rPr>
          <w:rFonts w:hint="eastAsia" w:ascii="仿宋" w:hAnsi="仿宋" w:eastAsia="仿宋" w:cs="仿宋"/>
          <w:sz w:val="30"/>
          <w:szCs w:val="30"/>
          <w:highlight w:val="none"/>
          <w:lang w:val="en-US" w:eastAsia="zh-CN"/>
        </w:rPr>
      </w:pPr>
      <w:r>
        <w:rPr>
          <w:rFonts w:hint="eastAsia"/>
          <w:b/>
          <w:bCs/>
          <w:sz w:val="36"/>
          <w:szCs w:val="36"/>
          <w:lang w:val="en-US" w:eastAsia="zh-CN"/>
        </w:rPr>
        <w:t>（第二批）</w:t>
      </w:r>
    </w:p>
    <w:p w14:paraId="703D055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highlight w:val="none"/>
          <w:lang w:val="en-US" w:eastAsia="zh-CN"/>
        </w:rPr>
      </w:pPr>
    </w:p>
    <w:p w14:paraId="6488FB7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全体债权人、债务人</w:t>
      </w:r>
      <w:r>
        <w:rPr>
          <w:rFonts w:hint="eastAsia" w:ascii="仿宋" w:hAnsi="仿宋" w:eastAsia="仿宋" w:cs="仿宋"/>
          <w:sz w:val="30"/>
          <w:szCs w:val="30"/>
          <w:highlight w:val="none"/>
        </w:rPr>
        <w:t>：</w:t>
      </w:r>
    </w:p>
    <w:p w14:paraId="32C58175">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威海市环翠区人民法院于2022年1月6日作出（2021）鲁1002破申3号《民事裁定书》，依法受理威海临港经济技术开发区草庙子镇人民政府对债务人威海金通灯具有限公司的破产清算申请</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并</w:t>
      </w:r>
      <w:r>
        <w:rPr>
          <w:rFonts w:hint="eastAsia" w:ascii="仿宋" w:hAnsi="仿宋" w:eastAsia="仿宋" w:cs="仿宋"/>
          <w:sz w:val="30"/>
          <w:szCs w:val="30"/>
          <w:highlight w:val="none"/>
        </w:rPr>
        <w:t>作出（2022）鲁1002破1号之一《决定书》，指定山东钟鼎律师事务所担任管理人。管理人依法履行职责开展债权审查工作，审查并编制了《威海金通灯具有限公司破产清算案债权登记表》，提交第一次债权人会议</w:t>
      </w:r>
      <w:r>
        <w:rPr>
          <w:rFonts w:hint="eastAsia" w:ascii="仿宋" w:hAnsi="仿宋" w:eastAsia="仿宋" w:cs="仿宋"/>
          <w:sz w:val="30"/>
          <w:szCs w:val="30"/>
          <w:highlight w:val="none"/>
          <w:lang w:val="en-US" w:eastAsia="zh-CN"/>
        </w:rPr>
        <w:t>审阅</w:t>
      </w:r>
      <w:r>
        <w:rPr>
          <w:rFonts w:hint="eastAsia" w:ascii="仿宋" w:hAnsi="仿宋" w:eastAsia="仿宋" w:cs="仿宋"/>
          <w:sz w:val="30"/>
          <w:szCs w:val="30"/>
          <w:highlight w:val="none"/>
        </w:rPr>
        <w:t>核查，送交债务人核对。经核查、核对，债权人、债务人对债权表中记载的共7笔债权无异议，管理人</w:t>
      </w:r>
      <w:r>
        <w:rPr>
          <w:rFonts w:hint="eastAsia" w:ascii="仿宋" w:hAnsi="仿宋" w:eastAsia="仿宋" w:cs="仿宋"/>
          <w:sz w:val="30"/>
          <w:szCs w:val="30"/>
          <w:highlight w:val="none"/>
          <w:lang w:val="en-US" w:eastAsia="zh-CN"/>
        </w:rPr>
        <w:t>已依法</w:t>
      </w:r>
      <w:r>
        <w:rPr>
          <w:rFonts w:hint="eastAsia" w:ascii="仿宋" w:hAnsi="仿宋" w:eastAsia="仿宋" w:cs="仿宋"/>
          <w:sz w:val="30"/>
          <w:szCs w:val="30"/>
          <w:highlight w:val="none"/>
        </w:rPr>
        <w:t>提请法院裁定确认</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威海市环翠区人民法院于2022年4月18日做出（2022）鲁 1002破1号之二《民事裁定书》予以确认。</w:t>
      </w:r>
    </w:p>
    <w:p w14:paraId="52EF0121">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第一次债权人会议后，</w:t>
      </w:r>
      <w:r>
        <w:rPr>
          <w:rFonts w:hint="eastAsia" w:ascii="仿宋" w:hAnsi="仿宋" w:eastAsia="仿宋" w:cs="仿宋"/>
          <w:sz w:val="30"/>
          <w:szCs w:val="30"/>
          <w:highlight w:val="none"/>
          <w:lang w:val="en-US" w:eastAsia="zh-CN"/>
        </w:rPr>
        <w:t>有一家债权人烟台铭城集团有限公司补充申报</w:t>
      </w:r>
      <w:r>
        <w:rPr>
          <w:rFonts w:hint="eastAsia" w:ascii="仿宋" w:hAnsi="仿宋" w:eastAsia="仿宋" w:cs="仿宋"/>
          <w:sz w:val="30"/>
          <w:szCs w:val="30"/>
          <w:highlight w:val="none"/>
        </w:rPr>
        <w:t>债权</w:t>
      </w:r>
      <w:r>
        <w:rPr>
          <w:rFonts w:hint="eastAsia" w:ascii="仿宋" w:hAnsi="仿宋" w:eastAsia="仿宋" w:cs="仿宋"/>
          <w:sz w:val="30"/>
          <w:szCs w:val="30"/>
          <w:highlight w:val="none"/>
          <w:lang w:val="en-US" w:eastAsia="zh-CN"/>
        </w:rPr>
        <w:t>1笔</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管理人经</w:t>
      </w:r>
      <w:r>
        <w:rPr>
          <w:rFonts w:hint="eastAsia" w:ascii="仿宋" w:hAnsi="仿宋" w:eastAsia="仿宋" w:cs="仿宋"/>
          <w:sz w:val="30"/>
          <w:szCs w:val="30"/>
          <w:highlight w:val="none"/>
        </w:rPr>
        <w:t>审查</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部分予以认定，并将审查确认结果</w:t>
      </w:r>
      <w:r>
        <w:rPr>
          <w:rFonts w:hint="eastAsia" w:ascii="仿宋" w:hAnsi="仿宋" w:eastAsia="仿宋" w:cs="仿宋"/>
          <w:sz w:val="30"/>
          <w:szCs w:val="30"/>
          <w:highlight w:val="none"/>
        </w:rPr>
        <w:t>告知</w:t>
      </w:r>
      <w:r>
        <w:rPr>
          <w:rFonts w:hint="eastAsia" w:ascii="仿宋" w:hAnsi="仿宋" w:eastAsia="仿宋" w:cs="仿宋"/>
          <w:sz w:val="30"/>
          <w:szCs w:val="30"/>
          <w:highlight w:val="none"/>
          <w:lang w:val="en-US" w:eastAsia="zh-CN"/>
        </w:rPr>
        <w:t>烟台铭城集团有限公司，该债权人在法定期限内未提出异议。据此，管理人编制</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威海金通灯具</w:t>
      </w:r>
      <w:r>
        <w:rPr>
          <w:rFonts w:hint="eastAsia" w:ascii="仿宋" w:hAnsi="仿宋" w:eastAsia="仿宋" w:cs="仿宋"/>
          <w:sz w:val="30"/>
          <w:szCs w:val="30"/>
          <w:highlight w:val="none"/>
        </w:rPr>
        <w:t>有限公司债权核查表》（详见附件</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）通过管理人官网</w:t>
      </w:r>
      <w:r>
        <w:rPr>
          <w:rFonts w:hint="eastAsia" w:ascii="仿宋" w:hAnsi="仿宋" w:eastAsia="仿宋" w:cs="仿宋"/>
          <w:sz w:val="30"/>
          <w:szCs w:val="30"/>
          <w:highlight w:val="none"/>
          <w:lang w:val="en-US" w:eastAsia="zh-CN"/>
        </w:rPr>
        <w:t>进行公示，</w:t>
      </w:r>
      <w:r>
        <w:rPr>
          <w:rFonts w:hint="eastAsia" w:ascii="仿宋" w:hAnsi="仿宋" w:eastAsia="仿宋" w:cs="仿宋"/>
          <w:sz w:val="30"/>
          <w:szCs w:val="30"/>
          <w:highlight w:val="none"/>
        </w:rPr>
        <w:t>提交全体债权人、债务人进行核查。</w:t>
      </w:r>
    </w:p>
    <w:p w14:paraId="028A6F85">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若对管理人公布的本批次债权审查认定结果有异议，请自公示之日起十五日内以书面形式（详见附件2《债权核查异议单》）向管理人提出并写明理由和法律依据，由管理人进行复查，并向异议人回复复查结果。若对管理人所作复查结论仍有异议的，异议人有权自收到债权异议复查告知书之日起十五日内向威海市环翠区人民法院提起破产债权确认之诉。债权异议期满，如债权人既未在上述期限内向管理人提出异议，也未向法院提起诉讼，即视为对管理人所作债权审查认定结果无异议，管理人将根据《中华人民共和国企业破产法》第五十八条第二款之规定，提请法院裁定确认。对于其他待定债权，管理人将进一步审查形成结论后公示。</w:t>
      </w:r>
    </w:p>
    <w:p w14:paraId="0AB48DBE">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特此公示。</w:t>
      </w:r>
    </w:p>
    <w:p w14:paraId="47BB1ECA">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sz w:val="30"/>
          <w:szCs w:val="30"/>
          <w:highlight w:val="none"/>
          <w:lang w:val="en-US" w:eastAsia="zh-CN"/>
        </w:rPr>
      </w:pPr>
    </w:p>
    <w:p w14:paraId="63617C70">
      <w:pPr>
        <w:keepNext w:val="0"/>
        <w:keepLines w:val="0"/>
        <w:pageBreakBefore w:val="0"/>
        <w:widowControl w:val="0"/>
        <w:kinsoku/>
        <w:wordWrap/>
        <w:overflowPunct/>
        <w:topLinePunct w:val="0"/>
        <w:autoSpaceDE/>
        <w:autoSpaceDN/>
        <w:bidi w:val="0"/>
        <w:adjustRightInd/>
        <w:snapToGrid/>
        <w:spacing w:line="460" w:lineRule="exact"/>
        <w:ind w:firstLine="3300" w:firstLineChars="11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威海金通灯具</w:t>
      </w:r>
      <w:r>
        <w:rPr>
          <w:rFonts w:hint="eastAsia" w:ascii="仿宋" w:hAnsi="仿宋" w:eastAsia="仿宋" w:cs="仿宋"/>
          <w:sz w:val="30"/>
          <w:szCs w:val="30"/>
          <w:highlight w:val="none"/>
        </w:rPr>
        <w:t>有限公司管理人</w:t>
      </w:r>
    </w:p>
    <w:p w14:paraId="5883741D">
      <w:pPr>
        <w:keepNext w:val="0"/>
        <w:keepLines w:val="0"/>
        <w:pageBreakBefore w:val="0"/>
        <w:widowControl w:val="0"/>
        <w:kinsoku/>
        <w:wordWrap/>
        <w:overflowPunct/>
        <w:topLinePunct w:val="0"/>
        <w:autoSpaceDE/>
        <w:autoSpaceDN/>
        <w:bidi w:val="0"/>
        <w:adjustRightInd/>
        <w:snapToGrid/>
        <w:spacing w:line="460" w:lineRule="exact"/>
        <w:ind w:firstLine="3600" w:firstLineChars="120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二0二二年</w:t>
      </w:r>
      <w:r>
        <w:rPr>
          <w:rFonts w:hint="eastAsia" w:ascii="仿宋" w:hAnsi="仿宋" w:eastAsia="仿宋" w:cs="仿宋"/>
          <w:sz w:val="30"/>
          <w:szCs w:val="30"/>
          <w:highlight w:val="none"/>
          <w:lang w:val="en-US" w:eastAsia="zh-CN"/>
        </w:rPr>
        <w:t>十</w:t>
      </w:r>
      <w:r>
        <w:rPr>
          <w:rFonts w:hint="eastAsia" w:ascii="仿宋" w:hAnsi="仿宋" w:eastAsia="仿宋" w:cs="仿宋"/>
          <w:sz w:val="30"/>
          <w:szCs w:val="30"/>
          <w:highlight w:val="none"/>
        </w:rPr>
        <w:t>月</w:t>
      </w:r>
      <w:r>
        <w:rPr>
          <w:rFonts w:hint="eastAsia" w:ascii="仿宋" w:hAnsi="仿宋" w:eastAsia="仿宋" w:cs="仿宋"/>
          <w:sz w:val="30"/>
          <w:szCs w:val="30"/>
          <w:highlight w:val="none"/>
          <w:lang w:val="en-US" w:eastAsia="zh-CN"/>
        </w:rPr>
        <w:t>二十九</w:t>
      </w:r>
      <w:r>
        <w:rPr>
          <w:rFonts w:hint="eastAsia" w:ascii="仿宋" w:hAnsi="仿宋" w:eastAsia="仿宋" w:cs="仿宋"/>
          <w:sz w:val="30"/>
          <w:szCs w:val="30"/>
          <w:highlight w:val="none"/>
        </w:rPr>
        <w:t>日</w:t>
      </w:r>
    </w:p>
    <w:tbl>
      <w:tblPr>
        <w:tblStyle w:val="2"/>
        <w:tblpPr w:leftFromText="180" w:rightFromText="180" w:vertAnchor="page" w:horzAnchor="page" w:tblpX="1838" w:tblpY="7356"/>
        <w:tblOverlap w:val="never"/>
        <w:tblW w:w="90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8"/>
        <w:gridCol w:w="699"/>
        <w:gridCol w:w="2644"/>
        <w:gridCol w:w="1811"/>
        <w:gridCol w:w="1655"/>
        <w:gridCol w:w="1562"/>
      </w:tblGrid>
      <w:tr w14:paraId="5A24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0" w:hRule="atLeast"/>
        </w:trPr>
        <w:tc>
          <w:tcPr>
            <w:tcW w:w="900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E9E84">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eastAsia" w:ascii="仿宋_GB2312" w:hAnsi="宋体" w:eastAsia="仿宋_GB2312" w:cs="仿宋_GB2312"/>
                <w:b/>
                <w:i w:val="0"/>
                <w:color w:val="000000"/>
                <w:kern w:val="0"/>
                <w:sz w:val="36"/>
                <w:szCs w:val="36"/>
                <w:u w:val="none"/>
                <w:lang w:val="en-US" w:eastAsia="zh-CN" w:bidi="ar"/>
              </w:rPr>
              <w:t>威海金通灯具有限公司</w:t>
            </w:r>
            <w:r>
              <w:rPr>
                <w:rFonts w:hint="default" w:ascii="仿宋_GB2312" w:hAnsi="宋体" w:eastAsia="仿宋_GB2312" w:cs="仿宋_GB2312"/>
                <w:b/>
                <w:i w:val="0"/>
                <w:color w:val="000000"/>
                <w:kern w:val="0"/>
                <w:sz w:val="36"/>
                <w:szCs w:val="36"/>
                <w:u w:val="none"/>
                <w:lang w:val="en-US" w:eastAsia="zh-CN" w:bidi="ar"/>
              </w:rPr>
              <w:t>债权</w:t>
            </w:r>
            <w:r>
              <w:rPr>
                <w:rFonts w:hint="eastAsia" w:ascii="仿宋_GB2312" w:hAnsi="宋体" w:eastAsia="仿宋_GB2312" w:cs="仿宋_GB2312"/>
                <w:b/>
                <w:i w:val="0"/>
                <w:color w:val="000000"/>
                <w:kern w:val="0"/>
                <w:sz w:val="36"/>
                <w:szCs w:val="36"/>
                <w:u w:val="none"/>
                <w:lang w:val="en-US" w:eastAsia="zh-CN" w:bidi="ar"/>
              </w:rPr>
              <w:t>核查</w:t>
            </w:r>
            <w:r>
              <w:rPr>
                <w:rFonts w:hint="default" w:ascii="仿宋_GB2312" w:hAnsi="宋体" w:eastAsia="仿宋_GB2312" w:cs="仿宋_GB2312"/>
                <w:b/>
                <w:i w:val="0"/>
                <w:color w:val="000000"/>
                <w:kern w:val="0"/>
                <w:sz w:val="36"/>
                <w:szCs w:val="36"/>
                <w:u w:val="none"/>
                <w:lang w:val="en-US" w:eastAsia="zh-CN" w:bidi="ar"/>
              </w:rPr>
              <w:t>表</w:t>
            </w:r>
          </w:p>
        </w:tc>
      </w:tr>
      <w:tr w14:paraId="5B614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trPr>
        <w:tc>
          <w:tcPr>
            <w:tcW w:w="900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9D6B1">
            <w:pPr>
              <w:jc w:val="center"/>
              <w:rPr>
                <w:rFonts w:hint="default" w:ascii="仿宋_GB2312" w:hAnsi="宋体" w:eastAsia="仿宋_GB2312" w:cs="仿宋_GB2312"/>
                <w:b/>
                <w:i w:val="0"/>
                <w:color w:val="000000"/>
                <w:sz w:val="36"/>
                <w:szCs w:val="36"/>
                <w:u w:val="none"/>
              </w:rPr>
            </w:pPr>
          </w:p>
        </w:tc>
      </w:tr>
      <w:tr w14:paraId="5D28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90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DBF020">
            <w:pPr>
              <w:keepNext w:val="0"/>
              <w:keepLines w:val="0"/>
              <w:widowControl/>
              <w:suppressLineNumbers w:val="0"/>
              <w:ind w:left="-210" w:leftChars="-100" w:firstLine="279" w:firstLineChars="116"/>
              <w:jc w:val="center"/>
              <w:textAlignment w:val="center"/>
              <w:rPr>
                <w:rFonts w:hint="eastAsia" w:ascii="仿宋_GB2312" w:hAnsi="仿宋_GB2312" w:eastAsia="仿宋_GB2312" w:cs="仿宋_GB2312"/>
                <w:b/>
                <w:i w:val="0"/>
                <w:color w:val="000000"/>
                <w:sz w:val="24"/>
                <w:szCs w:val="24"/>
                <w:u w:val="none"/>
              </w:rPr>
            </w:pPr>
            <w:r>
              <w:rPr>
                <w:rStyle w:val="4"/>
                <w:rFonts w:hint="eastAsia" w:ascii="仿宋_GB2312" w:hAnsi="仿宋_GB2312" w:eastAsia="仿宋_GB2312" w:cs="仿宋_GB2312"/>
                <w:sz w:val="24"/>
                <w:szCs w:val="24"/>
                <w:lang w:val="en-US" w:eastAsia="zh-CN" w:bidi="ar"/>
              </w:rPr>
              <w:t>截止时间：2022年10月29日    单位：人民币元</w:t>
            </w:r>
          </w:p>
        </w:tc>
      </w:tr>
      <w:tr w14:paraId="0E603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1C3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序号</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9BC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债权编号</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CA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债权人名单</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FE1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申报总金额</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20D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审查确认金额</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B14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备注</w:t>
            </w:r>
          </w:p>
        </w:tc>
      </w:tr>
      <w:tr w14:paraId="500A9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73945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一、普通债权类</w:t>
            </w:r>
          </w:p>
        </w:tc>
      </w:tr>
      <w:tr w14:paraId="5CFE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DC1CE1A">
            <w:pPr>
              <w:keepNext w:val="0"/>
              <w:keepLines w:val="0"/>
              <w:widowControl/>
              <w:suppressLineNumbers w:val="0"/>
              <w:jc w:val="center"/>
              <w:textAlignment w:val="top"/>
              <w:rPr>
                <w:rFonts w:hint="eastAsia" w:ascii="仿宋_GB2312" w:hAnsi="仿宋_GB2312" w:eastAsia="仿宋_GB2312" w:cs="仿宋_GB2312"/>
                <w:i w:val="0"/>
                <w:color w:val="000000"/>
                <w:kern w:val="0"/>
                <w:sz w:val="24"/>
                <w:szCs w:val="24"/>
                <w:u w:val="none"/>
                <w:lang w:val="en-US" w:eastAsia="zh-CN" w:bidi="ar"/>
              </w:rPr>
            </w:pPr>
          </w:p>
          <w:p w14:paraId="34740B77">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top"/>
          </w:tcPr>
          <w:p w14:paraId="47BB0E31">
            <w:pPr>
              <w:keepNext w:val="0"/>
              <w:keepLines w:val="0"/>
              <w:widowControl/>
              <w:suppressLineNumbers w:val="0"/>
              <w:jc w:val="center"/>
              <w:textAlignment w:val="top"/>
              <w:rPr>
                <w:rFonts w:hint="eastAsia" w:ascii="仿宋_GB2312" w:hAnsi="仿宋_GB2312" w:eastAsia="仿宋_GB2312" w:cs="仿宋_GB2312"/>
                <w:i w:val="0"/>
                <w:color w:val="000000"/>
                <w:kern w:val="0"/>
                <w:sz w:val="24"/>
                <w:szCs w:val="24"/>
                <w:u w:val="none"/>
                <w:lang w:val="en-US" w:eastAsia="zh-CN" w:bidi="ar"/>
              </w:rPr>
            </w:pPr>
          </w:p>
          <w:p w14:paraId="5D5449C9">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BA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烟台铭城集团有限公司</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633B">
            <w:pPr>
              <w:keepNext w:val="0"/>
              <w:keepLines w:val="0"/>
              <w:widowControl/>
              <w:suppressLineNumbers w:val="0"/>
              <w:ind w:firstLine="120" w:firstLineChars="5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1953323.11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4F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1691752.29</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2505">
            <w:pPr>
              <w:keepNext w:val="0"/>
              <w:keepLines w:val="0"/>
              <w:widowControl/>
              <w:suppressLineNumbers w:val="0"/>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利息核减，迟延履行期间债务利息转劣后债权。</w:t>
            </w:r>
          </w:p>
        </w:tc>
      </w:tr>
      <w:tr w14:paraId="7E97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5" w:hRule="atLeast"/>
        </w:trPr>
        <w:tc>
          <w:tcPr>
            <w:tcW w:w="39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5F1D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CF1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1953323.11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D31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1691752.29</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A2F1">
            <w:pPr>
              <w:rPr>
                <w:rFonts w:hint="eastAsia" w:ascii="仿宋_GB2312" w:hAnsi="仿宋_GB2312" w:eastAsia="仿宋_GB2312" w:cs="仿宋_GB2312"/>
                <w:i w:val="0"/>
                <w:color w:val="000000"/>
                <w:sz w:val="24"/>
                <w:szCs w:val="24"/>
                <w:u w:val="none"/>
              </w:rPr>
            </w:pPr>
          </w:p>
        </w:tc>
      </w:tr>
      <w:tr w14:paraId="2854C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0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A0A12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b/>
                <w:bCs/>
                <w:i w:val="0"/>
                <w:color w:val="000000"/>
                <w:kern w:val="0"/>
                <w:sz w:val="24"/>
                <w:szCs w:val="24"/>
                <w:u w:val="none"/>
                <w:lang w:val="en-US" w:eastAsia="zh-CN" w:bidi="ar"/>
              </w:rPr>
              <w:t>二、劣后债权类</w:t>
            </w:r>
          </w:p>
        </w:tc>
      </w:tr>
      <w:tr w14:paraId="67F01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D8C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B458">
            <w:pPr>
              <w:keepNext w:val="0"/>
              <w:keepLines w:val="0"/>
              <w:widowControl/>
              <w:suppressLineNumbers w:val="0"/>
              <w:ind w:firstLine="240" w:firstLineChars="100"/>
              <w:jc w:val="both"/>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7E0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烟台铭城集团有限公司</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D1A7">
            <w:pPr>
              <w:jc w:val="center"/>
              <w:rPr>
                <w:rFonts w:hint="eastAsia" w:ascii="仿宋_GB2312" w:hAnsi="仿宋_GB2312" w:eastAsia="仿宋_GB2312" w:cs="仿宋_GB2312"/>
                <w:i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570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243115.24</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70A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迟延履行期间债务利息。</w:t>
            </w:r>
          </w:p>
        </w:tc>
      </w:tr>
      <w:tr w14:paraId="5C463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39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F423E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3E35">
            <w:pPr>
              <w:jc w:val="center"/>
              <w:rPr>
                <w:rFonts w:hint="eastAsia" w:ascii="仿宋_GB2312" w:hAnsi="仿宋_GB2312" w:eastAsia="仿宋_GB2312" w:cs="仿宋_GB2312"/>
                <w:i w:val="0"/>
                <w:color w:val="000000"/>
                <w:sz w:val="24"/>
                <w:szCs w:val="24"/>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F46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243115.24</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D7B1">
            <w:pPr>
              <w:rPr>
                <w:rFonts w:hint="eastAsia" w:ascii="仿宋_GB2312" w:hAnsi="仿宋_GB2312" w:eastAsia="仿宋_GB2312" w:cs="仿宋_GB2312"/>
                <w:i w:val="0"/>
                <w:color w:val="000000"/>
                <w:sz w:val="24"/>
                <w:szCs w:val="24"/>
                <w:u w:val="none"/>
              </w:rPr>
            </w:pPr>
          </w:p>
        </w:tc>
      </w:tr>
      <w:tr w14:paraId="25D26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39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8EF10">
            <w:pPr>
              <w:keepNext w:val="0"/>
              <w:keepLines w:val="0"/>
              <w:widowControl/>
              <w:suppressLineNumbers w:val="0"/>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合计</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D6E1">
            <w:pPr>
              <w:jc w:val="center"/>
              <w:rPr>
                <w:rFonts w:hint="eastAsia" w:ascii="仿宋_GB2312" w:hAnsi="仿宋_GB2312" w:eastAsia="仿宋_GB2312" w:cs="仿宋_GB2312"/>
                <w:b w:val="0"/>
                <w:bCs w:val="0"/>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1953323.11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05CF">
            <w:pPr>
              <w:keepNext w:val="0"/>
              <w:keepLines w:val="0"/>
              <w:widowControl/>
              <w:suppressLineNumbers w:val="0"/>
              <w:jc w:val="center"/>
              <w:textAlignment w:val="center"/>
              <w:rPr>
                <w:rFonts w:hint="default"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color w:val="000000"/>
                <w:kern w:val="0"/>
                <w:sz w:val="24"/>
                <w:szCs w:val="24"/>
                <w:u w:val="none"/>
                <w:lang w:val="en-US" w:eastAsia="zh-CN" w:bidi="ar"/>
              </w:rPr>
              <w:t>1934867.53</w:t>
            </w:r>
          </w:p>
        </w:tc>
        <w:tc>
          <w:tcPr>
            <w:tcW w:w="1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A155">
            <w:pPr>
              <w:rPr>
                <w:rFonts w:hint="eastAsia" w:ascii="仿宋_GB2312" w:hAnsi="仿宋_GB2312" w:eastAsia="仿宋_GB2312" w:cs="仿宋_GB2312"/>
                <w:i w:val="0"/>
                <w:color w:val="000000"/>
                <w:sz w:val="24"/>
                <w:szCs w:val="24"/>
                <w:u w:val="none"/>
              </w:rPr>
            </w:pPr>
          </w:p>
        </w:tc>
      </w:tr>
    </w:tbl>
    <w:p w14:paraId="5EB5072C">
      <w:pPr>
        <w:keepNext w:val="0"/>
        <w:keepLines w:val="0"/>
        <w:pageBreakBefore w:val="0"/>
        <w:widowControl w:val="0"/>
        <w:kinsoku/>
        <w:wordWrap/>
        <w:overflowPunct/>
        <w:topLinePunct w:val="0"/>
        <w:autoSpaceDE/>
        <w:autoSpaceDN/>
        <w:bidi w:val="0"/>
        <w:adjustRightInd/>
        <w:snapToGrid/>
        <w:spacing w:line="460" w:lineRule="exact"/>
        <w:ind w:firstLine="3600" w:firstLineChars="1200"/>
        <w:textAlignment w:val="auto"/>
        <w:rPr>
          <w:rFonts w:hint="eastAsia" w:ascii="仿宋" w:hAnsi="仿宋" w:eastAsia="仿宋" w:cs="仿宋"/>
          <w:sz w:val="30"/>
          <w:szCs w:val="30"/>
          <w:highlight w:val="none"/>
        </w:rPr>
      </w:pPr>
    </w:p>
    <w:p w14:paraId="6B582437">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附件1：《威海金通灯具有限公司债权核查表》</w:t>
      </w:r>
    </w:p>
    <w:p w14:paraId="0D60F68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附件2：《债权核查异议单》</w:t>
      </w:r>
    </w:p>
    <w:p w14:paraId="0B00742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p>
    <w:p w14:paraId="659AC69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p>
    <w:p w14:paraId="32EF4EA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p>
    <w:p w14:paraId="3585806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sz w:val="30"/>
          <w:szCs w:val="30"/>
          <w:highlight w:val="none"/>
          <w:lang w:val="en-US" w:eastAsia="zh-CN"/>
        </w:rPr>
        <w:t>附件1</w:t>
      </w:r>
    </w:p>
    <w:p w14:paraId="4784BD2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val="0"/>
          <w:bCs w:val="0"/>
          <w:sz w:val="24"/>
          <w:szCs w:val="24"/>
          <w:highlight w:val="none"/>
          <w:lang w:val="en-US" w:eastAsia="zh-CN"/>
        </w:rPr>
      </w:pPr>
    </w:p>
    <w:p w14:paraId="038C7C7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highlight w:val="none"/>
        </w:rPr>
      </w:pPr>
    </w:p>
    <w:p w14:paraId="29D6DFD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highlight w:val="none"/>
        </w:rPr>
      </w:pPr>
    </w:p>
    <w:p w14:paraId="3C6E81B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highlight w:val="none"/>
        </w:rPr>
      </w:pPr>
    </w:p>
    <w:p w14:paraId="2220679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0"/>
          <w:szCs w:val="30"/>
          <w:highlight w:val="green"/>
          <w:lang w:val="en-US" w:eastAsia="zh-CN"/>
        </w:rPr>
      </w:pPr>
      <w:bookmarkStart w:id="0" w:name="_GoBack"/>
      <w:bookmarkEnd w:id="0"/>
    </w:p>
    <w:p w14:paraId="12FB87FE">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附件2</w:t>
      </w:r>
    </w:p>
    <w:p w14:paraId="20D465EE">
      <w:pPr>
        <w:pStyle w:val="5"/>
        <w:keepNext/>
        <w:keepLines/>
        <w:widowControl w:val="0"/>
        <w:shd w:val="clear" w:color="auto" w:fill="auto"/>
        <w:bidi w:val="0"/>
        <w:spacing w:before="0" w:after="40"/>
        <w:ind w:left="0" w:right="0" w:firstLine="0"/>
        <w:jc w:val="both"/>
        <w:rPr>
          <w:rFonts w:hint="eastAsia"/>
          <w:b/>
          <w:bCs/>
          <w:color w:val="000000"/>
          <w:spacing w:val="0"/>
          <w:w w:val="100"/>
          <w:position w:val="0"/>
          <w:lang w:val="en-US" w:eastAsia="zh-CN"/>
        </w:rPr>
      </w:pPr>
    </w:p>
    <w:p w14:paraId="5C3C9181">
      <w:pPr>
        <w:pStyle w:val="5"/>
        <w:keepNext/>
        <w:keepLines/>
        <w:widowControl w:val="0"/>
        <w:shd w:val="clear" w:color="auto" w:fill="auto"/>
        <w:bidi w:val="0"/>
        <w:spacing w:before="0" w:after="40"/>
        <w:ind w:left="0" w:right="0" w:firstLine="0"/>
        <w:jc w:val="center"/>
        <w:rPr>
          <w:rFonts w:hint="eastAsia" w:ascii="仿宋" w:hAnsi="仿宋" w:eastAsia="仿宋" w:cs="仿宋"/>
          <w:b/>
          <w:bCs/>
          <w:lang w:val="en-US"/>
        </w:rPr>
      </w:pPr>
      <w:r>
        <w:rPr>
          <w:rFonts w:hint="eastAsia" w:ascii="仿宋" w:hAnsi="仿宋" w:eastAsia="仿宋" w:cs="仿宋"/>
          <w:b/>
          <w:bCs/>
          <w:color w:val="000000"/>
          <w:spacing w:val="0"/>
          <w:w w:val="100"/>
          <w:position w:val="0"/>
          <w:lang w:val="en-US" w:eastAsia="zh-CN"/>
        </w:rPr>
        <w:t>债权核查异议单</w:t>
      </w:r>
    </w:p>
    <w:p w14:paraId="7308FEFE">
      <w:pPr>
        <w:pStyle w:val="6"/>
        <w:keepNext/>
        <w:keepLines/>
        <w:widowControl w:val="0"/>
        <w:shd w:val="clear" w:color="auto" w:fill="auto"/>
        <w:tabs>
          <w:tab w:val="left" w:pos="1680"/>
          <w:tab w:val="left" w:pos="5534"/>
        </w:tabs>
        <w:bidi w:val="0"/>
        <w:spacing w:before="0" w:after="140" w:line="405" w:lineRule="exact"/>
        <w:ind w:left="0" w:right="0" w:firstLine="522"/>
        <w:jc w:val="both"/>
        <w:rPr>
          <w:rFonts w:hint="eastAsia" w:ascii="仿宋" w:hAnsi="仿宋" w:eastAsia="仿宋" w:cs="仿宋"/>
          <w:color w:val="000000"/>
          <w:spacing w:val="0"/>
          <w:w w:val="100"/>
          <w:position w:val="0"/>
        </w:rPr>
      </w:pPr>
    </w:p>
    <w:p w14:paraId="171A7381">
      <w:pPr>
        <w:pStyle w:val="6"/>
        <w:keepNext/>
        <w:keepLines/>
        <w:widowControl w:val="0"/>
        <w:shd w:val="clear" w:color="auto" w:fill="auto"/>
        <w:tabs>
          <w:tab w:val="left" w:pos="1680"/>
          <w:tab w:val="left" w:pos="5534"/>
        </w:tabs>
        <w:bidi w:val="0"/>
        <w:spacing w:before="0" w:after="140" w:line="405" w:lineRule="exact"/>
        <w:ind w:left="0" w:right="0" w:firstLine="522"/>
        <w:jc w:val="both"/>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rPr>
        <w:t>本人</w:t>
      </w:r>
      <w:r>
        <w:rPr>
          <w:rFonts w:hint="eastAsia" w:ascii="仿宋" w:hAnsi="仿宋" w:eastAsia="仿宋" w:cs="仿宋"/>
          <w:color w:val="000000"/>
          <w:spacing w:val="0"/>
          <w:w w:val="100"/>
          <w:position w:val="0"/>
          <w:lang w:eastAsia="zh-CN"/>
        </w:rPr>
        <w:t>（</w:t>
      </w:r>
      <w:r>
        <w:rPr>
          <w:rFonts w:hint="eastAsia" w:ascii="仿宋" w:hAnsi="仿宋" w:eastAsia="仿宋" w:cs="仿宋"/>
          <w:color w:val="000000"/>
          <w:spacing w:val="0"/>
          <w:w w:val="100"/>
          <w:position w:val="0"/>
          <w:lang w:val="en-US" w:eastAsia="zh-CN"/>
        </w:rPr>
        <w:t>单位</w:t>
      </w:r>
      <w:r>
        <w:rPr>
          <w:rFonts w:hint="eastAsia" w:ascii="仿宋" w:hAnsi="仿宋" w:eastAsia="仿宋" w:cs="仿宋"/>
          <w:color w:val="000000"/>
          <w:spacing w:val="0"/>
          <w:w w:val="100"/>
          <w:position w:val="0"/>
          <w:lang w:eastAsia="zh-CN"/>
        </w:rPr>
        <w:t>）</w:t>
      </w:r>
      <w:r>
        <w:rPr>
          <w:rFonts w:hint="eastAsia" w:ascii="仿宋" w:hAnsi="仿宋" w:eastAsia="仿宋" w:cs="仿宋"/>
          <w:color w:val="000000"/>
          <w:spacing w:val="0"/>
          <w:w w:val="100"/>
          <w:position w:val="0"/>
          <w:lang w:val="en-US" w:eastAsia="zh-CN"/>
        </w:rPr>
        <w:t>已经收到管理人于2022年10月29日公示送达的《威海金通灯具有限公司债权核查表》。</w:t>
      </w:r>
      <w:r>
        <w:rPr>
          <w:rFonts w:hint="eastAsia" w:ascii="仿宋" w:hAnsi="仿宋" w:eastAsia="仿宋" w:cs="仿宋"/>
          <w:color w:val="000000"/>
          <w:spacing w:val="0"/>
          <w:w w:val="100"/>
          <w:position w:val="0"/>
        </w:rPr>
        <w:t>经核查，本人</w:t>
      </w:r>
      <w:r>
        <w:rPr>
          <w:rFonts w:hint="eastAsia" w:ascii="仿宋" w:hAnsi="仿宋" w:eastAsia="仿宋" w:cs="仿宋"/>
          <w:color w:val="000000"/>
          <w:spacing w:val="0"/>
          <w:w w:val="100"/>
          <w:position w:val="0"/>
          <w:lang w:eastAsia="zh-CN"/>
        </w:rPr>
        <w:t>（</w:t>
      </w:r>
      <w:r>
        <w:rPr>
          <w:rFonts w:hint="eastAsia" w:ascii="仿宋" w:hAnsi="仿宋" w:eastAsia="仿宋" w:cs="仿宋"/>
          <w:color w:val="000000"/>
          <w:spacing w:val="0"/>
          <w:w w:val="100"/>
          <w:position w:val="0"/>
          <w:lang w:val="en-US" w:eastAsia="zh-CN"/>
        </w:rPr>
        <w:t>单位</w:t>
      </w:r>
      <w:r>
        <w:rPr>
          <w:rFonts w:hint="eastAsia" w:ascii="仿宋" w:hAnsi="仿宋" w:eastAsia="仿宋" w:cs="仿宋"/>
          <w:color w:val="000000"/>
          <w:spacing w:val="0"/>
          <w:w w:val="100"/>
          <w:position w:val="0"/>
          <w:lang w:eastAsia="zh-CN"/>
        </w:rPr>
        <w:t>）</w:t>
      </w:r>
      <w:r>
        <w:rPr>
          <w:rFonts w:hint="eastAsia" w:ascii="仿宋" w:hAnsi="仿宋" w:eastAsia="仿宋" w:cs="仿宋"/>
          <w:color w:val="000000"/>
          <w:spacing w:val="0"/>
          <w:w w:val="100"/>
          <w:position w:val="0"/>
        </w:rPr>
        <w:t>对</w:t>
      </w:r>
      <w:r>
        <w:rPr>
          <w:rFonts w:hint="eastAsia" w:ascii="仿宋" w:hAnsi="仿宋" w:eastAsia="仿宋" w:cs="仿宋"/>
          <w:color w:val="000000"/>
          <w:spacing w:val="0"/>
          <w:w w:val="100"/>
          <w:position w:val="0"/>
          <w:lang w:val="en-US" w:eastAsia="zh-CN"/>
        </w:rPr>
        <w:t>该表中</w:t>
      </w:r>
      <w:r>
        <w:rPr>
          <w:rFonts w:hint="eastAsia" w:ascii="仿宋" w:hAnsi="仿宋" w:eastAsia="仿宋" w:cs="仿宋"/>
          <w:color w:val="000000"/>
          <w:spacing w:val="0"/>
          <w:w w:val="100"/>
          <w:position w:val="0"/>
        </w:rPr>
        <w:t>记载的</w:t>
      </w:r>
      <w:r>
        <w:rPr>
          <w:rFonts w:hint="eastAsia" w:ascii="仿宋" w:hAnsi="仿宋" w:eastAsia="仿宋" w:cs="仿宋"/>
          <w:color w:val="000000"/>
          <w:spacing w:val="0"/>
          <w:w w:val="100"/>
          <w:position w:val="0"/>
          <w:lang w:val="en-US" w:eastAsia="zh-CN"/>
        </w:rPr>
        <w:t>债权有异议，具体如下：</w:t>
      </w:r>
    </w:p>
    <w:p w14:paraId="192C27CE">
      <w:pPr>
        <w:pStyle w:val="6"/>
        <w:keepNext/>
        <w:keepLines/>
        <w:widowControl w:val="0"/>
        <w:shd w:val="clear" w:color="auto" w:fill="auto"/>
        <w:tabs>
          <w:tab w:val="left" w:pos="1680"/>
          <w:tab w:val="left" w:pos="5534"/>
        </w:tabs>
        <w:bidi w:val="0"/>
        <w:spacing w:before="0" w:after="140" w:line="405" w:lineRule="exact"/>
        <w:ind w:left="0" w:right="0" w:firstLine="522"/>
        <w:jc w:val="both"/>
        <w:rPr>
          <w:rFonts w:hint="eastAsia" w:ascii="仿宋" w:hAnsi="仿宋" w:eastAsia="仿宋" w:cs="仿宋"/>
          <w:color w:val="000000"/>
          <w:spacing w:val="0"/>
          <w:w w:val="100"/>
          <w:position w:val="0"/>
          <w:lang w:val="en-US" w:eastAsia="zh-CN"/>
        </w:rPr>
      </w:pPr>
    </w:p>
    <w:tbl>
      <w:tblPr>
        <w:tblStyle w:val="2"/>
        <w:tblW w:w="0" w:type="auto"/>
        <w:jc w:val="center"/>
        <w:tblLayout w:type="fixed"/>
        <w:tblCellMar>
          <w:top w:w="0" w:type="dxa"/>
          <w:left w:w="10" w:type="dxa"/>
          <w:bottom w:w="0" w:type="dxa"/>
          <w:right w:w="10" w:type="dxa"/>
        </w:tblCellMar>
      </w:tblPr>
      <w:tblGrid>
        <w:gridCol w:w="2152"/>
        <w:gridCol w:w="2143"/>
        <w:gridCol w:w="1874"/>
        <w:gridCol w:w="1874"/>
      </w:tblGrid>
      <w:tr w14:paraId="0C34F15D">
        <w:tblPrEx>
          <w:tblCellMar>
            <w:top w:w="0" w:type="dxa"/>
            <w:left w:w="10" w:type="dxa"/>
            <w:bottom w:w="0" w:type="dxa"/>
            <w:right w:w="10" w:type="dxa"/>
          </w:tblCellMar>
        </w:tblPrEx>
        <w:trPr>
          <w:trHeight w:val="499" w:hRule="exact"/>
          <w:jc w:val="center"/>
        </w:trPr>
        <w:tc>
          <w:tcPr>
            <w:tcW w:w="2152" w:type="dxa"/>
            <w:tcBorders>
              <w:top w:val="single" w:color="auto" w:sz="4" w:space="0"/>
              <w:left w:val="single" w:color="auto" w:sz="4" w:space="0"/>
            </w:tcBorders>
            <w:shd w:val="clear" w:color="auto" w:fill="FFFFFF"/>
            <w:vAlign w:val="bottom"/>
          </w:tcPr>
          <w:p w14:paraId="073C1F71">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r>
              <w:rPr>
                <w:rFonts w:hint="eastAsia" w:ascii="仿宋" w:hAnsi="仿宋" w:eastAsia="仿宋" w:cs="仿宋"/>
                <w:color w:val="000000"/>
                <w:spacing w:val="0"/>
                <w:w w:val="100"/>
                <w:position w:val="0"/>
              </w:rPr>
              <w:t>有异议债权及编号</w:t>
            </w:r>
          </w:p>
        </w:tc>
        <w:tc>
          <w:tcPr>
            <w:tcW w:w="2143" w:type="dxa"/>
            <w:tcBorders>
              <w:top w:val="single" w:color="auto" w:sz="4" w:space="0"/>
              <w:left w:val="single" w:color="auto" w:sz="4" w:space="0"/>
              <w:right w:val="single" w:color="auto" w:sz="4" w:space="0"/>
            </w:tcBorders>
            <w:shd w:val="clear" w:color="auto" w:fill="FFFFFF"/>
            <w:vAlign w:val="bottom"/>
          </w:tcPr>
          <w:p w14:paraId="4A5B107A">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rPr>
              <w:t>异议事项</w:t>
            </w:r>
          </w:p>
        </w:tc>
        <w:tc>
          <w:tcPr>
            <w:tcW w:w="1874" w:type="dxa"/>
            <w:tcBorders>
              <w:top w:val="single" w:color="auto" w:sz="4" w:space="0"/>
              <w:left w:val="single" w:color="auto" w:sz="4" w:space="0"/>
              <w:right w:val="single" w:color="auto" w:sz="4" w:space="0"/>
            </w:tcBorders>
            <w:shd w:val="clear" w:color="auto" w:fill="FFFFFF"/>
            <w:vAlign w:val="bottom"/>
          </w:tcPr>
          <w:p w14:paraId="347A2F59">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r>
              <w:rPr>
                <w:rFonts w:hint="eastAsia" w:ascii="仿宋" w:hAnsi="仿宋" w:eastAsia="仿宋" w:cs="仿宋"/>
                <w:color w:val="000000"/>
                <w:spacing w:val="0"/>
                <w:w w:val="100"/>
                <w:position w:val="0"/>
              </w:rPr>
              <w:t>事实理由</w:t>
            </w:r>
            <w:r>
              <w:rPr>
                <w:rFonts w:hint="eastAsia" w:ascii="仿宋" w:hAnsi="仿宋" w:eastAsia="仿宋" w:cs="仿宋"/>
                <w:color w:val="000000"/>
                <w:spacing w:val="0"/>
                <w:w w:val="100"/>
                <w:position w:val="0"/>
                <w:lang w:val="en-US" w:eastAsia="zh-CN"/>
              </w:rPr>
              <w:t xml:space="preserve"> </w:t>
            </w:r>
          </w:p>
        </w:tc>
        <w:tc>
          <w:tcPr>
            <w:tcW w:w="1874" w:type="dxa"/>
            <w:tcBorders>
              <w:top w:val="single" w:color="auto" w:sz="4" w:space="0"/>
              <w:left w:val="single" w:color="auto" w:sz="4" w:space="0"/>
              <w:right w:val="single" w:color="auto" w:sz="4" w:space="0"/>
            </w:tcBorders>
            <w:shd w:val="clear" w:color="auto" w:fill="FFFFFF"/>
            <w:vAlign w:val="bottom"/>
          </w:tcPr>
          <w:p w14:paraId="19678400">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r>
              <w:rPr>
                <w:rFonts w:hint="eastAsia" w:ascii="仿宋" w:hAnsi="仿宋" w:eastAsia="仿宋" w:cs="仿宋"/>
                <w:color w:val="000000"/>
                <w:spacing w:val="0"/>
                <w:w w:val="100"/>
                <w:position w:val="0"/>
                <w:lang w:val="en-US" w:eastAsia="zh-CN"/>
              </w:rPr>
              <w:t>法律依据</w:t>
            </w:r>
          </w:p>
        </w:tc>
      </w:tr>
      <w:tr w14:paraId="31042EA0">
        <w:tblPrEx>
          <w:tblCellMar>
            <w:top w:w="0" w:type="dxa"/>
            <w:left w:w="10" w:type="dxa"/>
            <w:bottom w:w="0" w:type="dxa"/>
            <w:right w:w="10" w:type="dxa"/>
          </w:tblCellMar>
        </w:tblPrEx>
        <w:trPr>
          <w:trHeight w:val="864" w:hRule="exact"/>
          <w:jc w:val="center"/>
        </w:trPr>
        <w:tc>
          <w:tcPr>
            <w:tcW w:w="2152" w:type="dxa"/>
            <w:tcBorders>
              <w:top w:val="single" w:color="auto" w:sz="4" w:space="0"/>
              <w:left w:val="single" w:color="auto" w:sz="4" w:space="0"/>
            </w:tcBorders>
            <w:shd w:val="clear" w:color="auto" w:fill="FFFFFF"/>
            <w:vAlign w:val="center"/>
          </w:tcPr>
          <w:p w14:paraId="50E6AE38">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2143" w:type="dxa"/>
            <w:tcBorders>
              <w:top w:val="single" w:color="auto" w:sz="4" w:space="0"/>
              <w:left w:val="single" w:color="auto" w:sz="4" w:space="0"/>
              <w:right w:val="single" w:color="auto" w:sz="4" w:space="0"/>
            </w:tcBorders>
            <w:shd w:val="clear" w:color="auto" w:fill="FFFFFF"/>
            <w:vAlign w:val="top"/>
          </w:tcPr>
          <w:p w14:paraId="718B3830">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1874" w:type="dxa"/>
            <w:tcBorders>
              <w:top w:val="single" w:color="auto" w:sz="4" w:space="0"/>
              <w:left w:val="single" w:color="auto" w:sz="4" w:space="0"/>
              <w:right w:val="single" w:color="auto" w:sz="4" w:space="0"/>
            </w:tcBorders>
            <w:shd w:val="clear" w:color="auto" w:fill="FFFFFF"/>
            <w:vAlign w:val="top"/>
          </w:tcPr>
          <w:p w14:paraId="77587A07">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1874" w:type="dxa"/>
            <w:tcBorders>
              <w:top w:val="single" w:color="auto" w:sz="4" w:space="0"/>
              <w:left w:val="single" w:color="auto" w:sz="4" w:space="0"/>
              <w:right w:val="single" w:color="auto" w:sz="4" w:space="0"/>
            </w:tcBorders>
            <w:shd w:val="clear" w:color="auto" w:fill="FFFFFF"/>
            <w:vAlign w:val="top"/>
          </w:tcPr>
          <w:p w14:paraId="798E1E7E">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r>
      <w:tr w14:paraId="39851242">
        <w:tblPrEx>
          <w:tblCellMar>
            <w:top w:w="0" w:type="dxa"/>
            <w:left w:w="10" w:type="dxa"/>
            <w:bottom w:w="0" w:type="dxa"/>
            <w:right w:w="10" w:type="dxa"/>
          </w:tblCellMar>
        </w:tblPrEx>
        <w:trPr>
          <w:trHeight w:val="864" w:hRule="exact"/>
          <w:jc w:val="center"/>
        </w:trPr>
        <w:tc>
          <w:tcPr>
            <w:tcW w:w="2152" w:type="dxa"/>
            <w:tcBorders>
              <w:top w:val="single" w:color="auto" w:sz="4" w:space="0"/>
              <w:left w:val="single" w:color="auto" w:sz="4" w:space="0"/>
            </w:tcBorders>
            <w:shd w:val="clear" w:color="auto" w:fill="FFFFFF"/>
            <w:vAlign w:val="center"/>
          </w:tcPr>
          <w:p w14:paraId="3A1D81C2">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2143" w:type="dxa"/>
            <w:tcBorders>
              <w:top w:val="single" w:color="auto" w:sz="4" w:space="0"/>
              <w:left w:val="single" w:color="auto" w:sz="4" w:space="0"/>
              <w:right w:val="single" w:color="auto" w:sz="4" w:space="0"/>
            </w:tcBorders>
            <w:shd w:val="clear" w:color="auto" w:fill="FFFFFF"/>
            <w:vAlign w:val="top"/>
          </w:tcPr>
          <w:p w14:paraId="77250A2D">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1874" w:type="dxa"/>
            <w:tcBorders>
              <w:top w:val="single" w:color="auto" w:sz="4" w:space="0"/>
              <w:left w:val="single" w:color="auto" w:sz="4" w:space="0"/>
              <w:right w:val="single" w:color="auto" w:sz="4" w:space="0"/>
            </w:tcBorders>
            <w:shd w:val="clear" w:color="auto" w:fill="FFFFFF"/>
            <w:vAlign w:val="top"/>
          </w:tcPr>
          <w:p w14:paraId="3E75DEB6">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1874" w:type="dxa"/>
            <w:tcBorders>
              <w:top w:val="single" w:color="auto" w:sz="4" w:space="0"/>
              <w:left w:val="single" w:color="auto" w:sz="4" w:space="0"/>
              <w:right w:val="single" w:color="auto" w:sz="4" w:space="0"/>
            </w:tcBorders>
            <w:shd w:val="clear" w:color="auto" w:fill="FFFFFF"/>
            <w:vAlign w:val="top"/>
          </w:tcPr>
          <w:p w14:paraId="570DF951">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r>
      <w:tr w14:paraId="59648920">
        <w:tblPrEx>
          <w:tblCellMar>
            <w:top w:w="0" w:type="dxa"/>
            <w:left w:w="10" w:type="dxa"/>
            <w:bottom w:w="0" w:type="dxa"/>
            <w:right w:w="10" w:type="dxa"/>
          </w:tblCellMar>
        </w:tblPrEx>
        <w:trPr>
          <w:trHeight w:val="869" w:hRule="exact"/>
          <w:jc w:val="center"/>
        </w:trPr>
        <w:tc>
          <w:tcPr>
            <w:tcW w:w="2152" w:type="dxa"/>
            <w:tcBorders>
              <w:top w:val="single" w:color="auto" w:sz="4" w:space="0"/>
              <w:left w:val="single" w:color="auto" w:sz="4" w:space="0"/>
              <w:bottom w:val="single" w:color="auto" w:sz="4" w:space="0"/>
            </w:tcBorders>
            <w:shd w:val="clear" w:color="auto" w:fill="FFFFFF"/>
            <w:vAlign w:val="center"/>
          </w:tcPr>
          <w:p w14:paraId="790D91C5">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2143" w:type="dxa"/>
            <w:tcBorders>
              <w:top w:val="single" w:color="auto" w:sz="4" w:space="0"/>
              <w:left w:val="single" w:color="auto" w:sz="4" w:space="0"/>
              <w:bottom w:val="single" w:color="auto" w:sz="4" w:space="0"/>
              <w:right w:val="single" w:color="auto" w:sz="4" w:space="0"/>
            </w:tcBorders>
            <w:shd w:val="clear" w:color="auto" w:fill="FFFFFF"/>
            <w:vAlign w:val="top"/>
          </w:tcPr>
          <w:p w14:paraId="6D994EF3">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1874" w:type="dxa"/>
            <w:tcBorders>
              <w:top w:val="single" w:color="auto" w:sz="4" w:space="0"/>
              <w:left w:val="single" w:color="auto" w:sz="4" w:space="0"/>
              <w:bottom w:val="single" w:color="auto" w:sz="4" w:space="0"/>
              <w:right w:val="single" w:color="auto" w:sz="4" w:space="0"/>
            </w:tcBorders>
            <w:shd w:val="clear" w:color="auto" w:fill="FFFFFF"/>
            <w:vAlign w:val="top"/>
          </w:tcPr>
          <w:p w14:paraId="026B00A5">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c>
          <w:tcPr>
            <w:tcW w:w="1874" w:type="dxa"/>
            <w:tcBorders>
              <w:top w:val="single" w:color="auto" w:sz="4" w:space="0"/>
              <w:left w:val="single" w:color="auto" w:sz="4" w:space="0"/>
              <w:bottom w:val="single" w:color="auto" w:sz="4" w:space="0"/>
              <w:right w:val="single" w:color="auto" w:sz="4" w:space="0"/>
            </w:tcBorders>
            <w:shd w:val="clear" w:color="auto" w:fill="FFFFFF"/>
            <w:vAlign w:val="top"/>
          </w:tcPr>
          <w:p w14:paraId="6655E6AE">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r>
      <w:tr w14:paraId="3C60FD41">
        <w:tblPrEx>
          <w:tblCellMar>
            <w:top w:w="0" w:type="dxa"/>
            <w:left w:w="10" w:type="dxa"/>
            <w:bottom w:w="0" w:type="dxa"/>
            <w:right w:w="10" w:type="dxa"/>
          </w:tblCellMar>
        </w:tblPrEx>
        <w:trPr>
          <w:trHeight w:val="1679" w:hRule="exact"/>
          <w:jc w:val="center"/>
        </w:trPr>
        <w:tc>
          <w:tcPr>
            <w:tcW w:w="2152" w:type="dxa"/>
            <w:tcBorders>
              <w:top w:val="single" w:color="auto" w:sz="4" w:space="0"/>
              <w:left w:val="single" w:color="auto" w:sz="4" w:space="0"/>
              <w:bottom w:val="single" w:color="auto" w:sz="4" w:space="0"/>
            </w:tcBorders>
            <w:shd w:val="clear" w:color="auto" w:fill="FFFFFF"/>
            <w:vAlign w:val="center"/>
          </w:tcPr>
          <w:p w14:paraId="18C44183">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lang w:val="en-US" w:eastAsia="zh-CN"/>
              </w:rPr>
              <w:t xml:space="preserve"> 异议人</w:t>
            </w:r>
          </w:p>
        </w:tc>
        <w:tc>
          <w:tcPr>
            <w:tcW w:w="5891" w:type="dxa"/>
            <w:gridSpan w:val="3"/>
            <w:tcBorders>
              <w:top w:val="single" w:color="auto" w:sz="4" w:space="0"/>
              <w:left w:val="single" w:color="auto" w:sz="4" w:space="0"/>
              <w:bottom w:val="single" w:color="auto" w:sz="4" w:space="0"/>
              <w:right w:val="single" w:color="auto" w:sz="4" w:space="0"/>
            </w:tcBorders>
            <w:shd w:val="clear" w:color="auto" w:fill="FFFFFF"/>
            <w:vAlign w:val="top"/>
          </w:tcPr>
          <w:p w14:paraId="1F30FC8D">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eastAsia="zh-CN"/>
              </w:rPr>
            </w:pPr>
          </w:p>
          <w:p w14:paraId="7894314D">
            <w:pPr>
              <w:pStyle w:val="7"/>
              <w:keepNext w:val="0"/>
              <w:keepLines w:val="0"/>
              <w:widowControl w:val="0"/>
              <w:shd w:val="clear" w:color="auto" w:fill="auto"/>
              <w:bidi w:val="0"/>
              <w:spacing w:before="0" w:after="0" w:line="240" w:lineRule="auto"/>
              <w:ind w:left="0" w:right="0" w:firstLine="1540" w:firstLineChars="700"/>
              <w:jc w:val="both"/>
              <w:rPr>
                <w:rFonts w:hint="eastAsia" w:ascii="仿宋" w:hAnsi="仿宋" w:eastAsia="仿宋" w:cs="仿宋"/>
                <w:color w:val="000000"/>
                <w:spacing w:val="0"/>
                <w:w w:val="100"/>
                <w:position w:val="0"/>
                <w:lang w:eastAsia="zh-CN"/>
              </w:rPr>
            </w:pPr>
          </w:p>
          <w:p w14:paraId="0B4FD35A">
            <w:pPr>
              <w:pStyle w:val="7"/>
              <w:keepNext w:val="0"/>
              <w:keepLines w:val="0"/>
              <w:widowControl w:val="0"/>
              <w:shd w:val="clear" w:color="auto" w:fill="auto"/>
              <w:bidi w:val="0"/>
              <w:spacing w:before="0" w:after="0" w:line="240" w:lineRule="auto"/>
              <w:ind w:left="0" w:right="0" w:firstLine="1540" w:firstLineChars="700"/>
              <w:jc w:val="both"/>
              <w:rPr>
                <w:rFonts w:hint="eastAsia" w:ascii="仿宋" w:hAnsi="仿宋" w:eastAsia="仿宋" w:cs="仿宋"/>
                <w:color w:val="000000"/>
                <w:spacing w:val="0"/>
                <w:w w:val="100"/>
                <w:position w:val="0"/>
                <w:lang w:eastAsia="zh-CN"/>
              </w:rPr>
            </w:pPr>
          </w:p>
          <w:p w14:paraId="1EACE224">
            <w:pPr>
              <w:pStyle w:val="7"/>
              <w:keepNext w:val="0"/>
              <w:keepLines w:val="0"/>
              <w:widowControl w:val="0"/>
              <w:shd w:val="clear" w:color="auto" w:fill="auto"/>
              <w:bidi w:val="0"/>
              <w:spacing w:before="0" w:after="0" w:line="240" w:lineRule="auto"/>
              <w:ind w:left="0" w:right="0" w:firstLine="1540" w:firstLineChars="700"/>
              <w:jc w:val="both"/>
              <w:rPr>
                <w:rFonts w:hint="eastAsia" w:ascii="仿宋" w:hAnsi="仿宋" w:eastAsia="仿宋" w:cs="仿宋"/>
                <w:color w:val="000000"/>
                <w:spacing w:val="0"/>
                <w:w w:val="100"/>
                <w:position w:val="0"/>
                <w:lang w:eastAsia="zh-CN"/>
              </w:rPr>
            </w:pPr>
          </w:p>
          <w:p w14:paraId="53D30936">
            <w:pPr>
              <w:pStyle w:val="7"/>
              <w:keepNext w:val="0"/>
              <w:keepLines w:val="0"/>
              <w:widowControl w:val="0"/>
              <w:shd w:val="clear" w:color="auto" w:fill="auto"/>
              <w:bidi w:val="0"/>
              <w:spacing w:before="0" w:after="0" w:line="240" w:lineRule="auto"/>
              <w:ind w:left="0" w:right="0" w:firstLine="1540" w:firstLineChars="700"/>
              <w:jc w:val="both"/>
              <w:rPr>
                <w:rFonts w:hint="eastAsia" w:ascii="仿宋" w:hAnsi="仿宋" w:eastAsia="仿宋" w:cs="仿宋"/>
                <w:color w:val="000000"/>
                <w:spacing w:val="0"/>
                <w:w w:val="100"/>
                <w:position w:val="0"/>
                <w:lang w:eastAsia="zh-CN"/>
              </w:rPr>
            </w:pPr>
            <w:r>
              <w:rPr>
                <w:rFonts w:hint="eastAsia" w:ascii="仿宋" w:hAnsi="仿宋" w:eastAsia="仿宋" w:cs="仿宋"/>
                <w:color w:val="000000"/>
                <w:spacing w:val="0"/>
                <w:w w:val="100"/>
                <w:position w:val="0"/>
                <w:lang w:eastAsia="zh-CN"/>
              </w:rPr>
              <w:t>（</w:t>
            </w:r>
            <w:r>
              <w:rPr>
                <w:rFonts w:hint="eastAsia" w:ascii="仿宋" w:hAnsi="仿宋" w:eastAsia="仿宋" w:cs="仿宋"/>
                <w:color w:val="000000"/>
                <w:spacing w:val="0"/>
                <w:w w:val="100"/>
                <w:position w:val="0"/>
                <w:lang w:val="en-US" w:eastAsia="zh-CN"/>
              </w:rPr>
              <w:t>自然人签字并捺手印，法人加盖公章</w:t>
            </w:r>
            <w:r>
              <w:rPr>
                <w:rFonts w:hint="eastAsia" w:ascii="仿宋" w:hAnsi="仿宋" w:eastAsia="仿宋" w:cs="仿宋"/>
                <w:color w:val="000000"/>
                <w:spacing w:val="0"/>
                <w:w w:val="100"/>
                <w:position w:val="0"/>
                <w:lang w:eastAsia="zh-CN"/>
              </w:rPr>
              <w:t>）</w:t>
            </w:r>
          </w:p>
        </w:tc>
      </w:tr>
      <w:tr w14:paraId="075EF5B2">
        <w:tblPrEx>
          <w:tblCellMar>
            <w:top w:w="0" w:type="dxa"/>
            <w:left w:w="10" w:type="dxa"/>
            <w:bottom w:w="0" w:type="dxa"/>
            <w:right w:w="10" w:type="dxa"/>
          </w:tblCellMar>
        </w:tblPrEx>
        <w:trPr>
          <w:trHeight w:val="869" w:hRule="exact"/>
          <w:jc w:val="center"/>
        </w:trPr>
        <w:tc>
          <w:tcPr>
            <w:tcW w:w="2152" w:type="dxa"/>
            <w:tcBorders>
              <w:top w:val="single" w:color="auto" w:sz="4" w:space="0"/>
              <w:left w:val="single" w:color="auto" w:sz="4" w:space="0"/>
              <w:bottom w:val="single" w:color="auto" w:sz="4" w:space="0"/>
            </w:tcBorders>
            <w:shd w:val="clear" w:color="auto" w:fill="FFFFFF"/>
            <w:vAlign w:val="center"/>
          </w:tcPr>
          <w:p w14:paraId="139E9988">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lang w:val="en-US" w:eastAsia="zh-CN"/>
              </w:rPr>
              <w:t>异议人的债权编号</w:t>
            </w:r>
          </w:p>
        </w:tc>
        <w:tc>
          <w:tcPr>
            <w:tcW w:w="5891" w:type="dxa"/>
            <w:gridSpan w:val="3"/>
            <w:tcBorders>
              <w:top w:val="single" w:color="auto" w:sz="4" w:space="0"/>
              <w:left w:val="single" w:color="auto" w:sz="4" w:space="0"/>
              <w:bottom w:val="single" w:color="auto" w:sz="4" w:space="0"/>
              <w:right w:val="single" w:color="auto" w:sz="4" w:space="0"/>
            </w:tcBorders>
            <w:shd w:val="clear" w:color="auto" w:fill="FFFFFF"/>
            <w:vAlign w:val="top"/>
          </w:tcPr>
          <w:p w14:paraId="009780D3">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rPr>
            </w:pPr>
          </w:p>
        </w:tc>
      </w:tr>
      <w:tr w14:paraId="67A8E060">
        <w:tblPrEx>
          <w:tblCellMar>
            <w:top w:w="0" w:type="dxa"/>
            <w:left w:w="10" w:type="dxa"/>
            <w:bottom w:w="0" w:type="dxa"/>
            <w:right w:w="10" w:type="dxa"/>
          </w:tblCellMar>
        </w:tblPrEx>
        <w:trPr>
          <w:trHeight w:val="869" w:hRule="exact"/>
          <w:jc w:val="center"/>
        </w:trPr>
        <w:tc>
          <w:tcPr>
            <w:tcW w:w="2152" w:type="dxa"/>
            <w:tcBorders>
              <w:top w:val="single" w:color="auto" w:sz="4" w:space="0"/>
              <w:left w:val="single" w:color="auto" w:sz="4" w:space="0"/>
              <w:bottom w:val="single" w:color="auto" w:sz="4" w:space="0"/>
            </w:tcBorders>
            <w:shd w:val="clear" w:color="auto" w:fill="FFFFFF"/>
            <w:vAlign w:val="center"/>
          </w:tcPr>
          <w:p w14:paraId="0C1661A7">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lang w:val="en-US" w:eastAsia="zh-CN"/>
              </w:rPr>
              <w:t>提交异议时间</w:t>
            </w:r>
          </w:p>
        </w:tc>
        <w:tc>
          <w:tcPr>
            <w:tcW w:w="5891" w:type="dxa"/>
            <w:gridSpan w:val="3"/>
            <w:tcBorders>
              <w:top w:val="single" w:color="auto" w:sz="4" w:space="0"/>
              <w:left w:val="single" w:color="auto" w:sz="4" w:space="0"/>
              <w:bottom w:val="single" w:color="auto" w:sz="4" w:space="0"/>
              <w:right w:val="single" w:color="auto" w:sz="4" w:space="0"/>
            </w:tcBorders>
            <w:shd w:val="clear" w:color="auto" w:fill="FFFFFF"/>
            <w:vAlign w:val="top"/>
          </w:tcPr>
          <w:p w14:paraId="197A81CF">
            <w:pPr>
              <w:pStyle w:val="7"/>
              <w:keepNext w:val="0"/>
              <w:keepLines w:val="0"/>
              <w:widowControl w:val="0"/>
              <w:shd w:val="clear" w:color="auto" w:fill="auto"/>
              <w:bidi w:val="0"/>
              <w:spacing w:before="0" w:after="0" w:line="240" w:lineRule="auto"/>
              <w:ind w:left="0" w:right="0" w:firstLine="0"/>
              <w:jc w:val="both"/>
              <w:rPr>
                <w:rFonts w:hint="eastAsia" w:ascii="仿宋" w:hAnsi="仿宋" w:eastAsia="仿宋" w:cs="仿宋"/>
                <w:color w:val="000000"/>
                <w:spacing w:val="0"/>
                <w:w w:val="100"/>
                <w:position w:val="0"/>
                <w:lang w:val="en-US" w:eastAsia="zh-CN"/>
              </w:rPr>
            </w:pPr>
          </w:p>
          <w:p w14:paraId="6E5A43D3">
            <w:pPr>
              <w:pStyle w:val="7"/>
              <w:keepNext w:val="0"/>
              <w:keepLines w:val="0"/>
              <w:widowControl w:val="0"/>
              <w:shd w:val="clear" w:color="auto" w:fill="auto"/>
              <w:bidi w:val="0"/>
              <w:spacing w:before="0" w:after="0" w:line="240" w:lineRule="auto"/>
              <w:ind w:right="0" w:firstLine="805" w:firstLineChars="366"/>
              <w:jc w:val="both"/>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lang w:val="en-US" w:eastAsia="zh-CN"/>
              </w:rPr>
              <w:t xml:space="preserve">        年     月     日  （由异议人填写）</w:t>
            </w:r>
          </w:p>
        </w:tc>
      </w:tr>
      <w:tr w14:paraId="1A1F527A">
        <w:tblPrEx>
          <w:tblCellMar>
            <w:top w:w="0" w:type="dxa"/>
            <w:left w:w="10" w:type="dxa"/>
            <w:bottom w:w="0" w:type="dxa"/>
            <w:right w:w="10" w:type="dxa"/>
          </w:tblCellMar>
        </w:tblPrEx>
        <w:trPr>
          <w:trHeight w:val="869" w:hRule="exact"/>
          <w:jc w:val="center"/>
        </w:trPr>
        <w:tc>
          <w:tcPr>
            <w:tcW w:w="2152" w:type="dxa"/>
            <w:tcBorders>
              <w:top w:val="single" w:color="auto" w:sz="4" w:space="0"/>
              <w:left w:val="single" w:color="auto" w:sz="4" w:space="0"/>
              <w:bottom w:val="single" w:color="auto" w:sz="4" w:space="0"/>
            </w:tcBorders>
            <w:shd w:val="clear" w:color="auto" w:fill="FFFFFF"/>
            <w:vAlign w:val="center"/>
          </w:tcPr>
          <w:p w14:paraId="48004158">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lang w:val="en-US" w:eastAsia="zh-CN"/>
              </w:rPr>
              <w:t>送达管理人时间</w:t>
            </w:r>
          </w:p>
        </w:tc>
        <w:tc>
          <w:tcPr>
            <w:tcW w:w="5891" w:type="dxa"/>
            <w:gridSpan w:val="3"/>
            <w:tcBorders>
              <w:top w:val="single" w:color="auto" w:sz="4" w:space="0"/>
              <w:left w:val="single" w:color="auto" w:sz="4" w:space="0"/>
              <w:bottom w:val="single" w:color="auto" w:sz="4" w:space="0"/>
              <w:right w:val="single" w:color="auto" w:sz="4" w:space="0"/>
            </w:tcBorders>
            <w:shd w:val="clear" w:color="auto" w:fill="FFFFFF"/>
            <w:vAlign w:val="top"/>
          </w:tcPr>
          <w:p w14:paraId="0F1B69B5">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p>
          <w:p w14:paraId="47818491">
            <w:pPr>
              <w:pStyle w:val="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spacing w:val="0"/>
                <w:w w:val="100"/>
                <w:position w:val="0"/>
                <w:lang w:val="en-US" w:eastAsia="zh-CN"/>
              </w:rPr>
            </w:pPr>
            <w:r>
              <w:rPr>
                <w:rFonts w:hint="eastAsia" w:ascii="仿宋" w:hAnsi="仿宋" w:eastAsia="仿宋" w:cs="仿宋"/>
                <w:color w:val="000000"/>
                <w:spacing w:val="0"/>
                <w:w w:val="100"/>
                <w:position w:val="0"/>
                <w:lang w:val="en-US" w:eastAsia="zh-CN"/>
              </w:rPr>
              <w:t xml:space="preserve">           年     月     日  （由管理人填写）</w:t>
            </w:r>
          </w:p>
        </w:tc>
      </w:tr>
    </w:tbl>
    <w:p w14:paraId="219A89FE">
      <w:pPr>
        <w:rPr>
          <w:rFonts w:hint="eastAsia" w:ascii="仿宋" w:hAnsi="仿宋" w:eastAsia="仿宋" w:cs="仿宋"/>
        </w:rPr>
      </w:pPr>
    </w:p>
    <w:p w14:paraId="2195FB47">
      <w:pPr>
        <w:rPr>
          <w:rFonts w:hint="eastAsia" w:ascii="仿宋" w:hAnsi="仿宋" w:eastAsia="仿宋" w:cs="仿宋"/>
        </w:rPr>
      </w:pPr>
    </w:p>
    <w:p w14:paraId="175D049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0"/>
          <w:szCs w:val="30"/>
          <w:highlight w:val="gree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1Y2VlN2IxOTBlNDE3M2EzMDJkM2NiNzYwNjZhNTcifQ=="/>
  </w:docVars>
  <w:rsids>
    <w:rsidRoot w:val="64191222"/>
    <w:rsid w:val="002420DC"/>
    <w:rsid w:val="2A954F29"/>
    <w:rsid w:val="32D61E6F"/>
    <w:rsid w:val="3C1E6B76"/>
    <w:rsid w:val="42D674CD"/>
    <w:rsid w:val="51081E57"/>
    <w:rsid w:val="64191222"/>
    <w:rsid w:val="745F7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default" w:ascii="仿宋_GB2312" w:eastAsia="仿宋_GB2312" w:cs="仿宋_GB2312"/>
      <w:b/>
      <w:color w:val="000000"/>
      <w:sz w:val="24"/>
      <w:szCs w:val="24"/>
      <w:u w:val="none"/>
    </w:rPr>
  </w:style>
  <w:style w:type="paragraph" w:customStyle="1" w:styleId="5">
    <w:name w:val="Heading #1|1"/>
    <w:basedOn w:val="1"/>
    <w:qFormat/>
    <w:uiPriority w:val="0"/>
    <w:pPr>
      <w:widowControl w:val="0"/>
      <w:shd w:val="clear" w:color="auto" w:fill="auto"/>
      <w:spacing w:after="20" w:line="552" w:lineRule="exact"/>
      <w:jc w:val="center"/>
      <w:outlineLvl w:val="0"/>
    </w:pPr>
    <w:rPr>
      <w:rFonts w:ascii="宋体" w:hAnsi="宋体" w:eastAsia="宋体" w:cs="宋体"/>
      <w:sz w:val="44"/>
      <w:szCs w:val="44"/>
      <w:u w:val="none"/>
      <w:shd w:val="clear" w:color="auto" w:fill="auto"/>
      <w:lang w:val="zh-TW" w:eastAsia="zh-TW" w:bidi="zh-TW"/>
    </w:rPr>
  </w:style>
  <w:style w:type="paragraph" w:customStyle="1" w:styleId="6">
    <w:name w:val="Heading #2|1"/>
    <w:basedOn w:val="1"/>
    <w:qFormat/>
    <w:uiPriority w:val="0"/>
    <w:pPr>
      <w:widowControl w:val="0"/>
      <w:shd w:val="clear" w:color="auto" w:fill="auto"/>
      <w:spacing w:after="70" w:line="283" w:lineRule="auto"/>
      <w:outlineLvl w:val="1"/>
    </w:pPr>
    <w:rPr>
      <w:rFonts w:ascii="宋体" w:hAnsi="宋体" w:eastAsia="宋体" w:cs="宋体"/>
      <w:b/>
      <w:bCs/>
      <w:sz w:val="26"/>
      <w:szCs w:val="26"/>
      <w:u w:val="none"/>
      <w:shd w:val="clear" w:color="auto" w:fill="auto"/>
      <w:lang w:val="zh-TW" w:eastAsia="zh-TW" w:bidi="zh-TW"/>
    </w:rPr>
  </w:style>
  <w:style w:type="paragraph" w:customStyle="1" w:styleId="7">
    <w:name w:val="Other|1"/>
    <w:basedOn w:val="1"/>
    <w:qFormat/>
    <w:uiPriority w:val="0"/>
    <w:pPr>
      <w:widowControl w:val="0"/>
      <w:shd w:val="clear" w:color="auto" w:fill="auto"/>
      <w:spacing w:line="403" w:lineRule="auto"/>
      <w:ind w:firstLine="400"/>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888</Words>
  <Characters>970</Characters>
  <Lines>0</Lines>
  <Paragraphs>0</Paragraphs>
  <TotalTime>3</TotalTime>
  <ScaleCrop>false</ScaleCrop>
  <LinksUpToDate>false</LinksUpToDate>
  <CharactersWithSpaces>1021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2022-05-25T10:59:00Z</dcterms:created>
  <dc:creator>山东钟鼎律师事务所</dc:creator>
  <cp:lastModifiedBy>山东钟鼎律师事务所</cp:lastModifiedBy>
  <dcterms:modified xsi:type="dcterms:W3CDTF">2024-05-10T16:36:03Z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36EAE21456A14E27A40A58B451C8DCAC_13</vt:lpwstr>
  </property>
  <property fmtid="{D5CDD505-2E9C-101B-9397-08002B2CF9AE}" pid="4" name="KSOTemplateDocerSaveRecord">
    <vt:lpwstr>eyJoZGlkIjoiOTJiNjUxZjJlOWFkZjRmZGEwNWFiZmJjOTVhMDFhMjAiLCJ1c2VySWQiOiIyOTk2NDgyMTcifQ==</vt:lpwstr>
  </property>
</Properties>
</file>