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5AEF3">
      <w:pPr>
        <w:rPr>
          <w:rFonts w:hint="eastAsia" w:ascii="宋体" w:hAnsi="宋体" w:eastAsia="宋体" w:cs="宋体"/>
          <w:b/>
          <w:bCs/>
          <w:szCs w:val="21"/>
        </w:rPr>
      </w:pPr>
      <w:r>
        <w:rPr>
          <w:rFonts w:hint="eastAsia" w:ascii="宋体" w:hAnsi="宋体" w:eastAsia="宋体" w:cs="宋体"/>
          <w:b/>
          <w:bCs/>
          <w:szCs w:val="21"/>
        </w:rPr>
        <w:t>附件一：</w:t>
      </w:r>
    </w:p>
    <w:p w14:paraId="6C40FE67">
      <w:pPr>
        <w:jc w:val="center"/>
        <w:rPr>
          <w:rFonts w:hint="eastAsia" w:ascii="宋体" w:hAnsi="宋体" w:eastAsia="宋体" w:cs="宋体"/>
          <w:b/>
          <w:bCs/>
          <w:sz w:val="44"/>
          <w:szCs w:val="44"/>
        </w:rPr>
      </w:pPr>
    </w:p>
    <w:p w14:paraId="60173EE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威海益一民装饰服务有限公司</w:t>
      </w:r>
    </w:p>
    <w:p w14:paraId="03D19F76">
      <w:pPr>
        <w:jc w:val="center"/>
        <w:rPr>
          <w:rFonts w:ascii="宋体" w:hAnsi="宋体" w:eastAsia="宋体" w:cs="宋体"/>
          <w:b/>
          <w:bCs/>
          <w:sz w:val="44"/>
          <w:szCs w:val="44"/>
        </w:rPr>
      </w:pPr>
      <w:r>
        <w:rPr>
          <w:rFonts w:hint="eastAsia" w:ascii="宋体" w:hAnsi="宋体" w:eastAsia="宋体" w:cs="宋体"/>
          <w:b/>
          <w:bCs/>
          <w:sz w:val="44"/>
          <w:szCs w:val="44"/>
        </w:rPr>
        <w:t>债权申报指引</w:t>
      </w:r>
    </w:p>
    <w:p w14:paraId="0511B9C6">
      <w:pPr>
        <w:jc w:val="center"/>
        <w:rPr>
          <w:rFonts w:ascii="宋体" w:hAnsi="宋体" w:eastAsia="宋体" w:cs="宋体"/>
          <w:b/>
          <w:bCs/>
          <w:sz w:val="44"/>
          <w:szCs w:val="44"/>
        </w:rPr>
      </w:pPr>
    </w:p>
    <w:p w14:paraId="532DEFC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为保证</w:t>
      </w:r>
      <w:r>
        <w:rPr>
          <w:rFonts w:hint="eastAsia" w:ascii="仿宋" w:hAnsi="仿宋" w:eastAsia="仿宋" w:cs="仿宋"/>
          <w:sz w:val="30"/>
          <w:szCs w:val="30"/>
          <w:lang w:eastAsia="zh-CN"/>
        </w:rPr>
        <w:t>威海益一民装饰服务有限公司</w:t>
      </w:r>
      <w:r>
        <w:rPr>
          <w:rFonts w:hint="eastAsia" w:ascii="仿宋" w:hAnsi="仿宋" w:eastAsia="仿宋" w:cs="仿宋"/>
          <w:sz w:val="30"/>
          <w:szCs w:val="30"/>
        </w:rPr>
        <w:t>破产清算工作的顺利进行，帮助债权人了解债权申报程序，维护自身合法权益，现根据《中华人民共和国企业破产法》以及相关法律法规，结合</w:t>
      </w:r>
      <w:r>
        <w:rPr>
          <w:rFonts w:hint="eastAsia" w:ascii="仿宋" w:hAnsi="仿宋" w:eastAsia="仿宋" w:cs="仿宋"/>
          <w:sz w:val="30"/>
          <w:szCs w:val="30"/>
          <w:lang w:eastAsia="zh-CN"/>
        </w:rPr>
        <w:t>威海益一民装饰服务有限公司</w:t>
      </w:r>
      <w:r>
        <w:rPr>
          <w:rFonts w:hint="eastAsia" w:ascii="仿宋" w:hAnsi="仿宋" w:eastAsia="仿宋" w:cs="仿宋"/>
          <w:sz w:val="30"/>
          <w:szCs w:val="30"/>
        </w:rPr>
        <w:t>的实际情况，就债权申报相关事宜做如下指引：</w:t>
      </w:r>
    </w:p>
    <w:p w14:paraId="2AB07EF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一、申报的主体</w:t>
      </w:r>
    </w:p>
    <w:p w14:paraId="7E2CDB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截止到202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月2</w:t>
      </w:r>
      <w:r>
        <w:rPr>
          <w:rFonts w:hint="eastAsia" w:ascii="仿宋" w:hAnsi="仿宋" w:eastAsia="仿宋" w:cs="仿宋"/>
          <w:sz w:val="30"/>
          <w:szCs w:val="30"/>
          <w:lang w:val="en-US" w:eastAsia="zh-CN"/>
        </w:rPr>
        <w:t>9</w:t>
      </w:r>
      <w:r>
        <w:rPr>
          <w:rFonts w:hint="eastAsia" w:ascii="仿宋" w:hAnsi="仿宋" w:eastAsia="仿宋" w:cs="仿宋"/>
          <w:sz w:val="30"/>
          <w:szCs w:val="30"/>
        </w:rPr>
        <w:t>日威海市中级人民法院裁定受理破产清算时对</w:t>
      </w:r>
      <w:r>
        <w:rPr>
          <w:rFonts w:hint="eastAsia" w:ascii="仿宋" w:hAnsi="仿宋" w:eastAsia="仿宋" w:cs="仿宋"/>
          <w:sz w:val="30"/>
          <w:szCs w:val="30"/>
          <w:lang w:eastAsia="zh-CN"/>
        </w:rPr>
        <w:t>威海益一民装饰服务有限公司</w:t>
      </w:r>
      <w:r>
        <w:rPr>
          <w:rFonts w:hint="eastAsia" w:ascii="仿宋" w:hAnsi="仿宋" w:eastAsia="仿宋" w:cs="仿宋"/>
          <w:sz w:val="30"/>
          <w:szCs w:val="30"/>
        </w:rPr>
        <w:t>享有债权的自然人、法人或其他组织，均可向管理人申报债权。未到期的债权，自202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月2</w:t>
      </w:r>
      <w:r>
        <w:rPr>
          <w:rFonts w:hint="eastAsia" w:ascii="仿宋" w:hAnsi="仿宋" w:eastAsia="仿宋" w:cs="仿宋"/>
          <w:sz w:val="30"/>
          <w:szCs w:val="30"/>
          <w:lang w:val="en-US" w:eastAsia="zh-CN"/>
        </w:rPr>
        <w:t>9</w:t>
      </w:r>
      <w:r>
        <w:rPr>
          <w:rFonts w:hint="eastAsia" w:ascii="仿宋" w:hAnsi="仿宋" w:eastAsia="仿宋" w:cs="仿宋"/>
          <w:sz w:val="30"/>
          <w:szCs w:val="30"/>
        </w:rPr>
        <w:t>日破产申请受理时视为到期。附条件、附期限的债权以及未决诉讼案件、未决仲裁案件涉及的债权，相关债权人可向管理人申报债权。</w:t>
      </w:r>
    </w:p>
    <w:p w14:paraId="3B89DC4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未申报债权的债权人，不得依照《中华人民共和国企业破产法》规定的程序行使权利。</w:t>
      </w:r>
    </w:p>
    <w:p w14:paraId="089FAE1E">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二、债权申报期限</w:t>
      </w:r>
    </w:p>
    <w:p w14:paraId="0648F11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1.债权人应在法院确定的期限内向管理人申报债权，于202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之前提交债权申报材料。在法院确定的债权申报期限内，债权人未申报债权的，可以在破产财产分配方案提交债权人会议表决前补充申报，管理人为审查和确认补充申报债权的费用，由补充申报人承担（每笔逾期补充申报费用按申报债权金额的0.5％交纳，不足200元的按200元交纳，每笔最高不超过5000元）。</w:t>
      </w:r>
    </w:p>
    <w:p w14:paraId="1A6AD8EF">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2.特别提示：为了管理人能够在第一次债权人会议召开前及时、有效地认定债权，希望各债权人在202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30</w:t>
      </w:r>
      <w:r>
        <w:rPr>
          <w:rFonts w:hint="eastAsia" w:ascii="仿宋" w:hAnsi="仿宋" w:eastAsia="仿宋" w:cs="仿宋"/>
          <w:b/>
          <w:bCs/>
          <w:sz w:val="30"/>
          <w:szCs w:val="30"/>
        </w:rPr>
        <w:t>日前申报债权。否则，鉴于债权认定工作的复杂性、耗时性，管理人可能无法在第一次债权人会议召开时完成全部申报债权的审查工作，而因此导致临近债权申报期限届满申报的债权人的权利处于待定状态。</w:t>
      </w:r>
    </w:p>
    <w:p w14:paraId="0D9DD772">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三、债权人应提交的材料</w:t>
      </w:r>
    </w:p>
    <w:p w14:paraId="1D345EA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（一）主体证明材料</w:t>
      </w:r>
    </w:p>
    <w:p w14:paraId="7EAE4C5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1.债权人为法人或其他组织的，应提交营业执照、事业单位法人证书或民办非企业单位登记证书等主体资料复印件，法定代表人／负责人身份证明书（详见附件五）、法定代表人／负责人的身份证复印件。</w:t>
      </w:r>
      <w:r>
        <w:rPr>
          <w:rFonts w:hint="eastAsia" w:ascii="仿宋" w:hAnsi="仿宋" w:eastAsia="仿宋" w:cs="仿宋"/>
          <w:b/>
          <w:bCs/>
          <w:sz w:val="30"/>
          <w:szCs w:val="30"/>
        </w:rPr>
        <w:t>上述资料均需在空白处写明“本复印件与原件一致”并加盖公章。</w:t>
      </w:r>
      <w:r>
        <w:rPr>
          <w:rFonts w:hint="eastAsia" w:ascii="仿宋" w:hAnsi="仿宋" w:eastAsia="仿宋" w:cs="仿宋"/>
          <w:sz w:val="30"/>
          <w:szCs w:val="30"/>
        </w:rPr>
        <w:t>如债权人与</w:t>
      </w:r>
      <w:r>
        <w:rPr>
          <w:rFonts w:hint="eastAsia" w:ascii="仿宋" w:hAnsi="仿宋" w:eastAsia="仿宋" w:cs="仿宋"/>
          <w:sz w:val="30"/>
          <w:szCs w:val="30"/>
          <w:lang w:eastAsia="zh-CN"/>
        </w:rPr>
        <w:t>威海益一民装饰服务有限公司</w:t>
      </w:r>
      <w:r>
        <w:rPr>
          <w:rFonts w:hint="eastAsia" w:ascii="仿宋" w:hAnsi="仿宋" w:eastAsia="仿宋" w:cs="仿宋"/>
          <w:sz w:val="30"/>
          <w:szCs w:val="30"/>
        </w:rPr>
        <w:t>发生债权债务后名称变更的，还应提交名称变更证明材料。</w:t>
      </w:r>
    </w:p>
    <w:p w14:paraId="39558C7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2.债权人为自然人的，应提交身份证复印件，</w:t>
      </w:r>
      <w:r>
        <w:rPr>
          <w:rFonts w:hint="eastAsia" w:ascii="仿宋" w:hAnsi="仿宋" w:eastAsia="仿宋" w:cs="仿宋"/>
          <w:b/>
          <w:bCs/>
          <w:sz w:val="30"/>
          <w:szCs w:val="30"/>
        </w:rPr>
        <w:t>在空白处写明“本复印件与原件一致”并签字捺手印。</w:t>
      </w:r>
    </w:p>
    <w:p w14:paraId="443C64B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3.债权人委托代理人进行债权申报的，应提交《授权委托书》原件（详见附件六、附件七）、委托代理人的身份证复印件</w:t>
      </w:r>
      <w:r>
        <w:rPr>
          <w:rFonts w:hint="eastAsia" w:ascii="仿宋" w:hAnsi="仿宋" w:eastAsia="仿宋" w:cs="仿宋"/>
          <w:b/>
          <w:bCs/>
          <w:sz w:val="30"/>
          <w:szCs w:val="30"/>
        </w:rPr>
        <w:t>（在空白处写明“本复印件与原件一致”并签字捺手印）</w:t>
      </w:r>
      <w:r>
        <w:rPr>
          <w:rFonts w:hint="eastAsia" w:ascii="仿宋" w:hAnsi="仿宋" w:eastAsia="仿宋" w:cs="仿宋"/>
          <w:sz w:val="30"/>
          <w:szCs w:val="30"/>
        </w:rPr>
        <w:t>；委托代理人为律师、法律工作者的，还应提交律师事务所函、法律服务所函、律师执业证、法律工作者执业证。</w:t>
      </w:r>
      <w:r>
        <w:rPr>
          <w:rFonts w:hint="eastAsia" w:ascii="仿宋" w:hAnsi="仿宋" w:eastAsia="仿宋" w:cs="仿宋"/>
          <w:b/>
          <w:bCs/>
          <w:sz w:val="30"/>
          <w:szCs w:val="30"/>
        </w:rPr>
        <w:t>委托代理人为非律师、法律工作者的，委托人与代理人均应到申报现场签署《授权委托书》，委托人不能到申报现场签署《授权委托书》的，应进行公证委托。</w:t>
      </w:r>
    </w:p>
    <w:p w14:paraId="1F5B78EA">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（二）债权申报材料清单（详见附件二）</w:t>
      </w:r>
    </w:p>
    <w:p w14:paraId="3C01254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0"/>
          <w:szCs w:val="30"/>
        </w:rPr>
        <w:t>“债权申报编号”无需填写，由管理人统一编码。</w:t>
      </w:r>
    </w:p>
    <w:p w14:paraId="0E147479">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（三）债权申报登记表（详见附件三）</w:t>
      </w:r>
    </w:p>
    <w:p w14:paraId="3DC96F4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1.《债权申报登记表》须如实填写各项内容。</w:t>
      </w:r>
    </w:p>
    <w:p w14:paraId="1067A7C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2.债权人为法人或其他组织的，由法定代表人、负责人在《债权申报登记表》签名并加盖公章；债权人为自然人的，由本人在《债权申报登记表》签字捺手印。</w:t>
      </w:r>
    </w:p>
    <w:p w14:paraId="2B87462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3.申报债权中的利息、违约金、迟延履行滞纳金等债权，计算至202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日，即威海市中级人民法院裁定受理</w:t>
      </w:r>
      <w:r>
        <w:rPr>
          <w:rFonts w:hint="eastAsia" w:ascii="仿宋" w:hAnsi="仿宋" w:eastAsia="仿宋" w:cs="仿宋"/>
          <w:sz w:val="30"/>
          <w:szCs w:val="30"/>
          <w:lang w:val="en-US" w:eastAsia="zh-CN"/>
        </w:rPr>
        <w:t>店子果蔬</w:t>
      </w:r>
      <w:r>
        <w:rPr>
          <w:rFonts w:hint="eastAsia" w:ascii="仿宋" w:hAnsi="仿宋" w:eastAsia="仿宋" w:cs="仿宋"/>
          <w:sz w:val="30"/>
          <w:szCs w:val="30"/>
        </w:rPr>
        <w:t>公司破产清算的前一日。申报人应提交计算清单、说明计算的依据、计算方法，同时将正常利息与罚息、迟延利息、滞纳金等分开计算。</w:t>
      </w:r>
    </w:p>
    <w:p w14:paraId="2205EFA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4.申报债权是否有物的担保，债权人需要说明，并说明担保物及担保范围、债权人是否放弃优先受偿权。</w:t>
      </w:r>
    </w:p>
    <w:p w14:paraId="19AE3DB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5.申报债权是否有共同债权人、是否有共同债务人，债权人需要写明，若有还应说明共同债权人、债务人的名称。</w:t>
      </w:r>
    </w:p>
    <w:p w14:paraId="6748891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6.“债权概况”一栏需简要陈述债权的形成经过，对已开发票／未开发票金额需说明；涉及合同的，对合同是否履行完毕需说明；债权发生事实可附带纸张做为续页，续页须由债权人盖章／签字；存在多笔债权的，分别说明。</w:t>
      </w:r>
    </w:p>
    <w:p w14:paraId="2518BAC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7.如申报优先债权的，还需另行附页提交《优先债权申报书》及证据材料，并详细说明申报优先权的事实与理由、优先债权的性质等。</w:t>
      </w:r>
    </w:p>
    <w:p w14:paraId="088845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8.申报债权应当一并提交可证实债权发生事实、债权数额的证据材料。证据材料包括但不限于证明债权发生的各类合同／协议、履行合同／协议的证据、付款凭证、对账单、收据或发票、权利登记证明文件等证据材料。</w:t>
      </w:r>
    </w:p>
    <w:p w14:paraId="553A512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9.债权有担保的，应提交抵押合同、质押合同、保证合同、他项权证等相关担保的证据材料。</w:t>
      </w:r>
    </w:p>
    <w:p w14:paraId="3DA9775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10.债权人就所申报债权申请过诉讼、仲裁保全的，应提交法院保全裁定书、协助执行通知书等法律文书；相关权利已经得到生效的裁判文书或仲裁裁决书确认的，应当提交相关法律文书。</w:t>
      </w:r>
    </w:p>
    <w:p w14:paraId="069B15F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11.可证明与债权人主张的债权相关的诉讼时效中止、中断、延长及债权数额的其他证据材料。</w:t>
      </w:r>
    </w:p>
    <w:p w14:paraId="0090FCA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12.申报的债权还有其他债务人的，应书面说明其他债务人的履行情况，并提交相关书面材料。</w:t>
      </w:r>
    </w:p>
    <w:p w14:paraId="7D559F8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13.与债权人主张的债权相关的其他证据材料。</w:t>
      </w:r>
    </w:p>
    <w:p w14:paraId="1859A06B">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（四）债权申报人联系信息确认书（详见附件四）</w:t>
      </w:r>
    </w:p>
    <w:p w14:paraId="437B5A5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14:paraId="6929CB33">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四、债权申报注意事项</w:t>
      </w:r>
    </w:p>
    <w:p w14:paraId="7594633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1.申报债权数额：大小写须一致，不一致的以大写为准；总额、分项须一致，不一致的以总额为准；同一个债权人只能申报一个债权总额。</w:t>
      </w:r>
    </w:p>
    <w:p w14:paraId="715826B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2.外币须折算成人民币，汇率以法院裁定受理</w:t>
      </w:r>
      <w:r>
        <w:rPr>
          <w:rFonts w:hint="eastAsia" w:ascii="仿宋" w:hAnsi="仿宋" w:eastAsia="仿宋" w:cs="仿宋"/>
          <w:sz w:val="30"/>
          <w:szCs w:val="30"/>
          <w:lang w:val="en-US" w:eastAsia="zh-CN"/>
        </w:rPr>
        <w:t>店子果蔬</w:t>
      </w:r>
      <w:r>
        <w:rPr>
          <w:rFonts w:hint="eastAsia" w:ascii="仿宋" w:hAnsi="仿宋" w:eastAsia="仿宋" w:cs="仿宋"/>
          <w:sz w:val="30"/>
          <w:szCs w:val="30"/>
        </w:rPr>
        <w:t>公司破产清算之日即202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月2</w:t>
      </w:r>
      <w:r>
        <w:rPr>
          <w:rFonts w:hint="eastAsia" w:ascii="仿宋" w:hAnsi="仿宋" w:eastAsia="仿宋" w:cs="仿宋"/>
          <w:sz w:val="30"/>
          <w:szCs w:val="30"/>
          <w:lang w:val="en-US" w:eastAsia="zh-CN"/>
        </w:rPr>
        <w:t>9</w:t>
      </w:r>
      <w:r>
        <w:rPr>
          <w:rFonts w:hint="eastAsia" w:ascii="仿宋" w:hAnsi="仿宋" w:eastAsia="仿宋" w:cs="仿宋"/>
          <w:sz w:val="30"/>
          <w:szCs w:val="30"/>
        </w:rPr>
        <w:t>日国家外汇管理局公布的汇率中间价为准</w:t>
      </w:r>
      <w:r>
        <w:rPr>
          <w:rFonts w:hint="eastAsia" w:ascii="仿宋" w:hAnsi="仿宋" w:eastAsia="仿宋" w:cs="仿宋"/>
          <w:b/>
          <w:bCs/>
          <w:sz w:val="30"/>
          <w:szCs w:val="30"/>
        </w:rPr>
        <w:t>（并提交银行出具的汇率证明）</w:t>
      </w:r>
      <w:r>
        <w:rPr>
          <w:rFonts w:hint="eastAsia" w:ascii="仿宋" w:hAnsi="仿宋" w:eastAsia="仿宋" w:cs="仿宋"/>
          <w:sz w:val="30"/>
          <w:szCs w:val="30"/>
        </w:rPr>
        <w:t>。</w:t>
      </w:r>
    </w:p>
    <w:p w14:paraId="6B3E26E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14:paraId="3F51EA1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4.有关债权申报文本与申报要求，请登录山东钟鼎律师事务所官网(http://www.sdzhongdinglaw.com)</w:t>
      </w:r>
      <w:r>
        <w:rPr>
          <w:rFonts w:hint="eastAsia" w:ascii="仿宋" w:hAnsi="仿宋" w:eastAsia="仿宋" w:cs="仿宋"/>
          <w:sz w:val="30"/>
          <w:szCs w:val="30"/>
          <w:lang w:val="en-US" w:eastAsia="zh-CN"/>
        </w:rPr>
        <w:t>点击进入“文书公告”</w:t>
      </w:r>
      <w:r>
        <w:rPr>
          <w:rFonts w:hint="eastAsia" w:ascii="仿宋" w:hAnsi="仿宋" w:eastAsia="仿宋" w:cs="仿宋"/>
          <w:sz w:val="30"/>
          <w:szCs w:val="30"/>
        </w:rPr>
        <w:t>阅读、下载，也可到管理人办公地点领取。</w:t>
      </w:r>
    </w:p>
    <w:p w14:paraId="19CD456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5.债权人提交所有申报材料均需一式两份。</w:t>
      </w:r>
    </w:p>
    <w:p w14:paraId="5A9B953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五、申报方式</w:t>
      </w:r>
    </w:p>
    <w:p w14:paraId="1E66971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债权人可直接到管理人办公地点申报债权，也可采取邮寄方式提交申报债权材料。债权人通过邮寄方式申报债权的，须在邮寄单上注明“</w:t>
      </w:r>
      <w:r>
        <w:rPr>
          <w:rFonts w:hint="eastAsia" w:ascii="仿宋" w:hAnsi="仿宋" w:eastAsia="仿宋" w:cs="仿宋"/>
          <w:sz w:val="30"/>
          <w:szCs w:val="30"/>
          <w:lang w:eastAsia="zh-CN"/>
        </w:rPr>
        <w:t>威海益一民装饰服务有限公司</w:t>
      </w:r>
      <w:r>
        <w:rPr>
          <w:rFonts w:hint="eastAsia" w:ascii="仿宋" w:hAnsi="仿宋" w:eastAsia="仿宋" w:cs="仿宋"/>
          <w:sz w:val="30"/>
          <w:szCs w:val="30"/>
        </w:rPr>
        <w:t>债权申报”字样，并自行保留邮寄底单备查。</w:t>
      </w:r>
    </w:p>
    <w:p w14:paraId="0E7B0BF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管理人办公地址：威海市环翠区青岛北路24号民航大厦四层山东钟鼎律师事务所。</w:t>
      </w:r>
    </w:p>
    <w:p w14:paraId="1B04C56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联系人：于上惠 15650072729</w:t>
      </w:r>
      <w:r>
        <w:rPr>
          <w:rFonts w:hint="eastAsia" w:ascii="仿宋" w:hAnsi="仿宋" w:eastAsia="仿宋" w:cs="仿宋"/>
          <w:sz w:val="30"/>
          <w:szCs w:val="30"/>
          <w:lang w:eastAsia="zh-CN"/>
        </w:rPr>
        <w:t>；</w:t>
      </w:r>
    </w:p>
    <w:p w14:paraId="5C6D550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联系人：邵子睿 15662314738。</w:t>
      </w:r>
    </w:p>
    <w:p w14:paraId="28C4E10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债权人直接到管理人办公地点申报债权的，请在每周一至周五工作时间（上午8:30-11: 30,下午13:30-17:30)进行申报，法定节假日除外。</w:t>
      </w:r>
    </w:p>
    <w:p w14:paraId="03FEA68C">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六、申报程序</w:t>
      </w:r>
    </w:p>
    <w:p w14:paraId="372C4B3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1.债权人按本指引向管理人申报债权。</w:t>
      </w:r>
    </w:p>
    <w:p w14:paraId="6632D13E">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管理人收到债权申报材料后，对于符合申报要求的材料进行登记造册，填写《债权申报表》中的“债权申报编号”；对于不符合申报要求的材料，要求债权人在申报期限内补正，符合要求后再填写债权申报编号。</w:t>
      </w:r>
    </w:p>
    <w:p w14:paraId="20D3B0A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3.管理人对申报的债权进行审查，编制债权表，提交债权人会议核查。</w:t>
      </w:r>
    </w:p>
    <w:p w14:paraId="2D9F0863">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七、特别声明</w:t>
      </w:r>
    </w:p>
    <w:p w14:paraId="1E7B4667">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1.管理人送达债权申报通知书等材料，不构成管理人对无效债权的确认，也不因此导致债权诉讼时效发生中止、中断或延长等法律后果。</w:t>
      </w:r>
    </w:p>
    <w:p w14:paraId="5BF4CEA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14:paraId="53BD6A0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p>
    <w:p w14:paraId="07A15422">
      <w:pPr>
        <w:spacing w:line="560" w:lineRule="exact"/>
        <w:ind w:firstLine="640" w:firstLineChars="200"/>
        <w:rPr>
          <w:rFonts w:ascii="仿宋" w:hAnsi="仿宋" w:eastAsia="仿宋" w:cs="仿宋"/>
          <w:sz w:val="32"/>
          <w:szCs w:val="32"/>
        </w:rPr>
      </w:pPr>
    </w:p>
    <w:p w14:paraId="1C47E761">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威海益一民装饰服务有限公司</w:t>
      </w:r>
      <w:r>
        <w:rPr>
          <w:rFonts w:hint="eastAsia" w:ascii="仿宋" w:hAnsi="仿宋" w:eastAsia="仿宋" w:cs="仿宋"/>
          <w:sz w:val="32"/>
          <w:szCs w:val="32"/>
        </w:rPr>
        <w:t>管理人</w:t>
      </w:r>
    </w:p>
    <w:p w14:paraId="6423A875">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六</w:t>
      </w:r>
      <w:r>
        <w:rPr>
          <w:rFonts w:hint="eastAsia" w:ascii="仿宋" w:hAnsi="仿宋" w:eastAsia="仿宋" w:cs="仿宋"/>
          <w:sz w:val="32"/>
          <w:szCs w:val="32"/>
        </w:rPr>
        <w:t>月</w:t>
      </w:r>
      <w:r>
        <w:rPr>
          <w:rFonts w:hint="eastAsia" w:ascii="仿宋" w:hAnsi="仿宋" w:eastAsia="仿宋" w:cs="仿宋"/>
          <w:sz w:val="32"/>
          <w:szCs w:val="32"/>
          <w:lang w:val="en-US" w:eastAsia="zh-CN"/>
        </w:rPr>
        <w:t>十三</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73C9">
    <w:pPr>
      <w:pStyle w:val="4"/>
      <w:pBdr>
        <w:bottom w:val="single" w:color="auto" w:sz="4" w:space="0"/>
      </w:pBdr>
      <w:rPr>
        <w:rFonts w:eastAsia="隶书"/>
        <w:sz w:val="21"/>
        <w:szCs w:val="21"/>
      </w:rPr>
    </w:pPr>
    <w:bookmarkStart w:id="0" w:name="_GoBack"/>
    <w:bookmarkEnd w:id="0"/>
  </w:p>
  <w:p w14:paraId="6403A2B4">
    <w:pPr>
      <w:pStyle w:val="4"/>
    </w:pPr>
    <w:r>
      <w:rPr>
        <w:rFonts w:hint="eastAsia" w:ascii="隶书" w:hAnsi="隶书" w:eastAsia="隶书" w:cs="隶书"/>
        <w:sz w:val="18"/>
        <w:szCs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0486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30486C">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529F">
    <w:pPr>
      <w:pStyle w:val="5"/>
      <w:pBdr>
        <w:bottom w:val="single" w:color="auto" w:sz="4" w:space="1"/>
      </w:pBdr>
      <w:rPr>
        <w:rFonts w:hint="eastAsia" w:ascii="隶书" w:hAnsi="隶书" w:eastAsia="隶书" w:cs="隶书"/>
        <w:sz w:val="18"/>
        <w:szCs w:val="18"/>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lang w:val="en-US" w:eastAsia="zh-CN"/>
      </w:rPr>
      <w:t>威海益一民装饰服务有限公司</w:t>
    </w:r>
    <w:r>
      <w:rPr>
        <w:rFonts w:hint="eastAsia" w:ascii="隶书" w:hAnsi="隶书" w:eastAsia="隶书" w:cs="隶书"/>
        <w:sz w:val="18"/>
        <w:szCs w:val="18"/>
        <w:lang w:val="en-US" w:eastAsia="zh-CN"/>
      </w:rPr>
      <w:t>管理人</w:t>
    </w:r>
    <w:r>
      <w:rPr>
        <w:rFonts w:hint="eastAsia" w:ascii="隶书" w:hAnsi="隶书" w:eastAsia="隶书" w:cs="隶书"/>
        <w:sz w:val="18"/>
        <w:szCs w:val="18"/>
      </w:rPr>
      <w:t>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074301"/>
    <w:rsid w:val="00206438"/>
    <w:rsid w:val="0041686F"/>
    <w:rsid w:val="005644FD"/>
    <w:rsid w:val="00731DE0"/>
    <w:rsid w:val="00746885"/>
    <w:rsid w:val="007C7CDF"/>
    <w:rsid w:val="00A559C0"/>
    <w:rsid w:val="00FE1BE7"/>
    <w:rsid w:val="1FD43A9D"/>
    <w:rsid w:val="20B842A4"/>
    <w:rsid w:val="21DC59CD"/>
    <w:rsid w:val="23C963DC"/>
    <w:rsid w:val="2CDB6EF0"/>
    <w:rsid w:val="30711E07"/>
    <w:rsid w:val="360A4407"/>
    <w:rsid w:val="3B957C86"/>
    <w:rsid w:val="3DAA32E6"/>
    <w:rsid w:val="4D5E08FC"/>
    <w:rsid w:val="4F050D8A"/>
    <w:rsid w:val="50F228F9"/>
    <w:rsid w:val="510A761E"/>
    <w:rsid w:val="58420CA0"/>
    <w:rsid w:val="65F27B99"/>
    <w:rsid w:val="696E0C61"/>
    <w:rsid w:val="6EBE3907"/>
    <w:rsid w:val="76316275"/>
    <w:rsid w:val="7A9C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1"/>
    <w:pPr>
      <w:ind w:left="120" w:firstLine="584"/>
    </w:pPr>
    <w:rPr>
      <w:rFonts w:ascii="宋体" w:hAnsi="宋体" w:eastAsia="宋体" w:cs="宋体"/>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D40E4-F9E9-4FDA-A8CD-2EF046A0F6F2}">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3002</Words>
  <Characters>3140</Characters>
  <Lines>23</Lines>
  <Paragraphs>6</Paragraphs>
  <TotalTime>5</TotalTime>
  <ScaleCrop>false</ScaleCrop>
  <LinksUpToDate>false</LinksUpToDate>
  <CharactersWithSpaces>3143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2023-08-31T08:43:00Z</dcterms:created>
  <dc:creator>敬</dc:creator>
  <cp:lastModifiedBy>山东钟鼎律师事务所</cp:lastModifiedBy>
  <dcterms:modified xsi:type="dcterms:W3CDTF">2025-06-13T04:39:31Z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2FE7000BEB744D61B5F6535D76EF65A8_13</vt:lpwstr>
  </property>
  <property fmtid="{D5CDD505-2E9C-101B-9397-08002B2CF9AE}" pid="4" name="KSOTemplateDocerSaveRecord">
    <vt:lpwstr>eyJoZGlkIjoiMjEyMjFiYmU3Yzk0NmFlMThhN2Q4ZjU1NmQxOTg3NzMiLCJ1c2VySWQiOiIyOTk2NDgyMTcifQ==</vt:lpwstr>
  </property>
</Properties>
</file>